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ackground w:color="FFFFFF"/>
  <w:body>
    <w:p>
      <w:pPr>
        <w:tabs>
          <w:tab w:val="left" w:pos="1710"/>
        </w:tabs>
      </w:pPr>
      <w:bookmarkStart w:id="0" w:name="_Toc183682338"/>
      <w:bookmarkStart w:id="1" w:name="_Toc217446030"/>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p>
      <w:pPr>
        <w:tabs>
          <w:tab w:val="left" w:pos="1710"/>
        </w:tabs>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64"/>
        <w:gridCol w:w="5942"/>
      </w:tblGrid>
      <w:tr>
        <w:trPr>
          <w:trHeight w:val="909"/>
        </w:trPr>
        <w:tc>
          <w:tcPr>
            <w:tcW w:w="7706" w:type="dxa"/>
            <w:gridSpan w:val="2"/>
            <w:tcBorders>
              <w:top w:val="nil"/>
              <w:left w:val="nil"/>
              <w:right w:val="nil"/>
            </w:tcBorders>
          </w:tcPr>
          <w:p>
            <w:pPr>
              <w:snapToGrid w:val="0"/>
              <w:spacing w:line="240" w:lineRule="atLeast"/>
              <w:jc w:val="center"/>
              <w:rPr>
                <w:b/>
                <w:sz w:val="60"/>
                <w:szCs w:val="60"/>
              </w:rPr>
            </w:pPr>
            <w:r>
              <w:rPr>
                <w:rFonts w:hint="eastAsia"/>
                <w:b/>
                <w:sz w:val="60"/>
                <w:szCs w:val="60"/>
              </w:rPr>
              <w:t>采购</w:t>
            </w:r>
            <w:r>
              <w:rPr>
                <w:b/>
                <w:sz w:val="60"/>
                <w:szCs w:val="60"/>
              </w:rPr>
              <w:t>文件</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b/>
                <w:sz w:val="32"/>
                <w:szCs w:val="32"/>
              </w:rPr>
              <w:t>项目名称：</w:t>
            </w:r>
          </w:p>
        </w:tc>
        <w:tc>
          <w:tcPr>
            <w:tcW w:w="5942" w:type="dxa"/>
            <w:tcBorders>
              <w:top w:val="single" w:sz="4" w:space="0" w:color="auto"/>
              <w:left w:val="single" w:sz="4" w:space="0" w:color="auto"/>
              <w:right w:val="single" w:sz="4" w:space="0" w:color="auto"/>
            </w:tcBorders>
            <w:vAlign w:val="center"/>
          </w:tcPr>
          <w:p>
            <w:pPr>
              <w:rPr>
                <w:rFonts w:eastAsia="宋体" w:hint="eastAsia"/>
                <w:b/>
                <w:sz w:val="32"/>
                <w:szCs w:val="32"/>
                <w:lang w:eastAsia="zh-CN"/>
              </w:rPr>
            </w:pPr>
            <w:r>
              <w:rPr>
                <w:rFonts w:hint="eastAsia"/>
                <w:b/>
                <w:sz w:val="32"/>
                <w:szCs w:val="32"/>
                <w:lang w:eastAsia="zh-CN"/>
              </w:rPr>
              <w:t>南宁海关艰苦地区边关生活设施保障能力提升工程（二期）项目-友谊关海关项目</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b/>
                <w:sz w:val="32"/>
                <w:szCs w:val="32"/>
              </w:rPr>
              <w:t>项目编号：</w:t>
            </w:r>
          </w:p>
        </w:tc>
        <w:tc>
          <w:tcPr>
            <w:tcW w:w="5942" w:type="dxa"/>
            <w:tcBorders>
              <w:top w:val="single" w:sz="4" w:space="0" w:color="auto"/>
              <w:left w:val="single" w:sz="4" w:space="0" w:color="auto"/>
              <w:right w:val="single" w:sz="4" w:space="0" w:color="auto"/>
            </w:tcBorders>
            <w:vAlign w:val="center"/>
          </w:tcPr>
          <w:p>
            <w:pPr>
              <w:rPr>
                <w:rFonts w:eastAsia="宋体" w:hint="eastAsia"/>
                <w:b/>
                <w:sz w:val="32"/>
                <w:szCs w:val="32"/>
                <w:lang w:eastAsia="zh-CN"/>
              </w:rPr>
            </w:pPr>
            <w:r>
              <w:rPr>
                <w:rFonts w:hint="eastAsia"/>
                <w:b/>
                <w:sz w:val="32"/>
                <w:szCs w:val="32"/>
                <w:lang w:eastAsia="zh-CN"/>
              </w:rPr>
              <w:t>GGZX2025-ZB-288</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b/>
                <w:sz w:val="32"/>
                <w:szCs w:val="32"/>
              </w:rPr>
              <w:t>联系电话：</w:t>
            </w:r>
          </w:p>
        </w:tc>
        <w:tc>
          <w:tcPr>
            <w:tcW w:w="5942" w:type="dxa"/>
            <w:tcBorders>
              <w:top w:val="single" w:sz="4" w:space="0" w:color="auto"/>
              <w:left w:val="single" w:sz="4" w:space="0" w:color="auto"/>
              <w:right w:val="single" w:sz="4" w:space="0" w:color="auto"/>
            </w:tcBorders>
            <w:vAlign w:val="center"/>
          </w:tcPr>
          <w:p>
            <w:pPr>
              <w:rPr>
                <w:rFonts w:eastAsia="宋体" w:hint="eastAsia"/>
                <w:b/>
                <w:sz w:val="32"/>
                <w:szCs w:val="32"/>
                <w:lang w:eastAsia="zh-CN"/>
              </w:rPr>
            </w:pPr>
            <w:r>
              <w:rPr>
                <w:rFonts w:hint="eastAsia"/>
                <w:b/>
                <w:sz w:val="32"/>
                <w:szCs w:val="32"/>
                <w:lang w:eastAsia="zh-CN"/>
              </w:rPr>
              <w:t>0771-5533898</w:t>
            </w:r>
          </w:p>
        </w:tc>
      </w:tr>
      <w:tr>
        <w:trPr>
          <w:trHeight w:hRule="exact" w:val="851"/>
        </w:trPr>
        <w:tc>
          <w:tcPr>
            <w:tcW w:w="1764" w:type="dxa"/>
            <w:tcBorders>
              <w:top w:val="single" w:sz="4" w:space="0" w:color="auto"/>
              <w:left w:val="single" w:sz="4" w:space="0" w:color="auto"/>
              <w:right w:val="single" w:sz="4" w:space="0" w:color="auto"/>
            </w:tcBorders>
            <w:vAlign w:val="center"/>
          </w:tcPr>
          <w:p>
            <w:pPr>
              <w:rPr>
                <w:b/>
                <w:sz w:val="32"/>
                <w:szCs w:val="32"/>
              </w:rPr>
            </w:pPr>
            <w:r>
              <w:rPr>
                <w:rFonts w:hint="eastAsia"/>
                <w:b/>
                <w:sz w:val="32"/>
                <w:szCs w:val="32"/>
              </w:rPr>
              <w:t>采购方式：</w:t>
            </w:r>
          </w:p>
        </w:tc>
        <w:tc>
          <w:tcPr>
            <w:tcW w:w="5942" w:type="dxa"/>
            <w:tcBorders>
              <w:top w:val="single" w:sz="4" w:space="0" w:color="auto"/>
              <w:left w:val="single" w:sz="4" w:space="0" w:color="auto"/>
              <w:right w:val="single" w:sz="4" w:space="0" w:color="auto"/>
            </w:tcBorders>
            <w:vAlign w:val="center"/>
          </w:tcPr>
          <w:p>
            <w:pPr>
              <w:rPr>
                <w:b/>
                <w:sz w:val="32"/>
                <w:szCs w:val="32"/>
              </w:rPr>
            </w:pPr>
            <w:r>
              <w:rPr>
                <w:rFonts w:hint="eastAsia"/>
                <w:b/>
                <w:sz w:val="32"/>
                <w:szCs w:val="32"/>
              </w:rPr>
              <w:t>竞争性磋商</w:t>
            </w:r>
          </w:p>
        </w:tc>
      </w:tr>
    </w:tbl>
    <w:p>
      <w:pPr>
        <w:tabs>
          <w:tab w:val="left" w:pos="1710"/>
        </w:tabs>
      </w:pPr>
    </w:p>
    <w:p/>
    <w:p/>
    <w:p/>
    <w:p/>
    <w:p/>
    <w:p/>
    <w:p/>
    <w:p/>
    <w:p/>
    <w:p/>
    <w:p/>
    <w:p/>
    <w:p/>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707"/>
        <w:gridCol w:w="6"/>
        <w:gridCol w:w="5571"/>
      </w:tblGrid>
      <w:tr>
        <w:trPr>
          <w:trHeight w:val="703"/>
        </w:trPr>
        <w:tc>
          <w:tcPr>
            <w:tcW w:w="2707" w:type="dxa"/>
            <w:vAlign w:val="center"/>
          </w:tcPr>
          <w:p>
            <w:pPr>
              <w:autoSpaceDE w:val="0"/>
              <w:autoSpaceDN w:val="0"/>
              <w:adjustRightInd w:val="0"/>
              <w:jc w:val="right"/>
              <w:rPr>
                <w:b/>
                <w:sz w:val="32"/>
                <w:szCs w:val="32"/>
              </w:rPr>
            </w:pPr>
            <w:r>
              <w:rPr>
                <w:b/>
                <w:sz w:val="32"/>
                <w:szCs w:val="32"/>
              </w:rPr>
              <w:t xml:space="preserve">  采购人：</w:t>
            </w:r>
          </w:p>
        </w:tc>
        <w:tc>
          <w:tcPr>
            <w:tcW w:w="5577" w:type="dxa"/>
            <w:gridSpan w:val="2"/>
            <w:vAlign w:val="center"/>
          </w:tcPr>
          <w:p>
            <w:pPr>
              <w:autoSpaceDE w:val="0"/>
              <w:autoSpaceDN w:val="0"/>
              <w:adjustRightInd w:val="0"/>
              <w:jc w:val="left"/>
              <w:rPr>
                <w:rFonts w:eastAsia="宋体" w:hint="eastAsia"/>
                <w:b/>
                <w:sz w:val="32"/>
                <w:szCs w:val="32"/>
                <w:lang w:eastAsia="zh-CN"/>
              </w:rPr>
            </w:pPr>
            <w:r>
              <w:rPr>
                <w:rFonts w:hint="eastAsia"/>
                <w:b/>
                <w:sz w:val="32"/>
                <w:szCs w:val="32"/>
                <w:lang w:eastAsia="zh-CN"/>
              </w:rPr>
              <w:t>中华人民共和国友谊关海关</w:t>
            </w:r>
          </w:p>
        </w:tc>
      </w:tr>
      <w:tr>
        <w:trPr>
          <w:trHeight w:val="703"/>
        </w:trPr>
        <w:tc>
          <w:tcPr>
            <w:tcW w:w="2713" w:type="dxa"/>
            <w:gridSpan w:val="2"/>
          </w:tcPr>
          <w:p>
            <w:pPr>
              <w:autoSpaceDE w:val="0"/>
              <w:autoSpaceDN w:val="0"/>
              <w:adjustRightInd w:val="0"/>
              <w:jc w:val="right"/>
              <w:rPr>
                <w:b/>
                <w:sz w:val="32"/>
                <w:szCs w:val="32"/>
              </w:rPr>
            </w:pPr>
            <w:r>
              <w:rPr>
                <w:b/>
                <w:sz w:val="32"/>
                <w:szCs w:val="32"/>
              </w:rPr>
              <w:t>采购代理机构：</w:t>
            </w:r>
          </w:p>
        </w:tc>
        <w:tc>
          <w:tcPr>
            <w:tcW w:w="5571" w:type="dxa"/>
          </w:tcPr>
          <w:p>
            <w:pPr>
              <w:autoSpaceDE w:val="0"/>
              <w:autoSpaceDN w:val="0"/>
              <w:adjustRightInd w:val="0"/>
              <w:rPr>
                <w:rFonts w:eastAsia="宋体" w:hint="eastAsia"/>
                <w:b/>
                <w:sz w:val="32"/>
                <w:szCs w:val="32"/>
                <w:u w:val="single"/>
                <w:lang w:eastAsia="zh-CN"/>
              </w:rPr>
            </w:pPr>
            <w:r>
              <w:rPr>
                <w:rFonts w:hint="eastAsia"/>
                <w:b/>
                <w:sz w:val="32"/>
                <w:szCs w:val="32"/>
                <w:lang w:eastAsia="zh-CN"/>
              </w:rPr>
              <w:t>广西桂工建设管理咨询有限公司</w:t>
            </w:r>
          </w:p>
        </w:tc>
      </w:tr>
    </w:tbl>
    <w:p/>
    <w:p>
      <w:pPr>
        <w:ind w:firstLineChars="100" w:firstLine="320"/>
        <w:jc w:val="center"/>
        <w:rPr>
          <w:b/>
          <w:sz w:val="32"/>
          <w:szCs w:val="32"/>
        </w:rPr>
        <w:sectPr>
          <w:headerReference w:type="first" r:id="rId2"/>
          <w:footerReference w:type="default" r:id="rId3"/>
          <w:footerReference w:type="even" r:id="rId4"/>
          <w:footerReference w:type="first" r:id="rId5"/>
          <w:type w:val="nextColumn"/>
          <w:pgSz w:w="11906" w:h="16838"/>
          <w:pgMar w:top="1418" w:right="1418" w:bottom="1246" w:left="1418" w:header="851" w:footer="992" w:gutter="0"/>
          <w:pgNumType w:start="0"/>
          <w:titlePg/>
          <w:docGrid w:linePitch="312" w:charSpace="0"/>
        </w:sectPr>
      </w:pPr>
      <w:r>
        <w:rPr>
          <w:b/>
          <w:sz w:val="32"/>
          <w:szCs w:val="32"/>
        </w:rPr>
        <w:t>202</w:t>
      </w:r>
      <w:r>
        <w:rPr>
          <w:rFonts w:hint="eastAsia"/>
          <w:b/>
          <w:sz w:val="32"/>
          <w:szCs w:val="32"/>
        </w:rPr>
        <w:t>5</w:t>
      </w:r>
      <w:r>
        <w:rPr>
          <w:b/>
          <w:sz w:val="32"/>
          <w:szCs w:val="32"/>
        </w:rPr>
        <w:t>年</w:t>
      </w:r>
      <w:r>
        <w:rPr>
          <w:rFonts w:hint="eastAsia"/>
          <w:b/>
          <w:sz w:val="32"/>
          <w:szCs w:val="32"/>
          <w:lang w:val="en-US" w:eastAsia="zh-CN"/>
        </w:rPr>
        <w:t>10</w:t>
      </w:r>
      <w:r>
        <w:rPr>
          <w:b/>
          <w:sz w:val="32"/>
          <w:szCs w:val="32"/>
        </w:rPr>
        <w:t>月</w:t>
      </w:r>
    </w:p>
    <w:p>
      <w:pPr>
        <w:rPr>
          <w:sz w:val="32"/>
          <w:szCs w:val="32"/>
        </w:rPr>
      </w:pPr>
    </w:p>
    <w:p>
      <w:pPr>
        <w:pStyle w:val="31"/>
        <w:snapToGrid w:val="0"/>
        <w:spacing w:before="120" w:after="120" w:line="320" w:lineRule="exact"/>
        <w:jc w:val="center"/>
        <w:outlineLvl w:val="0"/>
        <w:rPr>
          <w:rFonts w:ascii="Times New Roman" w:cs="Times New Roman" w:hAnsi="Times New Roman"/>
          <w:b/>
          <w:bCs/>
          <w:sz w:val="32"/>
          <w:szCs w:val="32"/>
        </w:rPr>
      </w:pPr>
      <w:bookmarkStart w:id="2" w:name="_Toc503889276"/>
      <w:bookmarkStart w:id="3" w:name="_Toc23183402"/>
      <w:bookmarkStart w:id="4" w:name="_Toc9929"/>
      <w:bookmarkStart w:id="5" w:name="_Toc483235754"/>
      <w:bookmarkStart w:id="6" w:name="_Toc89186348"/>
      <w:r>
        <w:rPr>
          <w:rFonts w:ascii="Times New Roman" w:cs="Times New Roman" w:hAnsi="Times New Roman"/>
          <w:b/>
          <w:bCs/>
          <w:sz w:val="32"/>
          <w:szCs w:val="32"/>
        </w:rPr>
        <w:t>目    录</w:t>
      </w:r>
      <w:bookmarkEnd w:id="2"/>
      <w:bookmarkEnd w:id="3"/>
      <w:bookmarkEnd w:id="4"/>
      <w:bookmarkEnd w:id="5"/>
      <w:bookmarkEnd w:id="6"/>
    </w:p>
    <w:p>
      <w:pPr>
        <w:pStyle w:val="31"/>
        <w:keepNext w:val="0"/>
        <w:keepLines w:val="0"/>
        <w:pageBreakBefore w:val="0"/>
        <w:widowControl w:val="0"/>
        <w:kinsoku/>
        <w:wordWrap/>
        <w:overflowPunct/>
        <w:topLinePunct w:val="0"/>
        <w:autoSpaceDE/>
        <w:autoSpaceDN/>
        <w:bidi w:val="0"/>
        <w:adjustRightInd/>
        <w:snapToGrid w:val="0"/>
        <w:spacing w:before="120" w:after="120" w:line="320" w:lineRule="exact"/>
        <w:jc w:val="center"/>
        <w:textAlignment w:val="auto"/>
        <w:outlineLvl w:val="9"/>
        <w:rPr>
          <w:rFonts w:ascii="Times New Roman" w:cs="Times New Roman" w:hAnsi="Times New Roman"/>
          <w:sz w:val="32"/>
          <w:szCs w:val="32"/>
        </w:rPr>
      </w:pPr>
    </w:p>
    <w:p>
      <w:pPr>
        <w:pStyle w:val="38"/>
        <w:tabs>
          <w:tab w:val="clear" w:pos="8398"/>
          <w:tab w:val="right" w:leader="dot" w:pos="9070"/>
        </w:tabs>
      </w:pPr>
      <w:r>
        <w:rPr>
          <w:rStyle w:val="62"/>
          <w:rFonts w:ascii="Times New Roman" w:hAnsi="Times New Roman"/>
          <w:color w:val="auto"/>
        </w:rPr>
        <w:fldChar w:fldCharType="begin"/>
      </w:r>
      <w:r>
        <w:rPr>
          <w:rStyle w:val="62"/>
          <w:rFonts w:ascii="Times New Roman" w:hAnsi="Times New Roman"/>
          <w:color w:val="auto"/>
        </w:rPr>
        <w:instrText xml:space="preserve"> TOC \o "1-1" \h \z \u </w:instrText>
      </w:r>
      <w:r>
        <w:rPr>
          <w:rFonts w:ascii="Times New Roman" w:hAnsi="Times New Roman"/>
        </w:rPr>
        <w:fldChar w:fldCharType="separate"/>
      </w:r>
      <w:r>
        <w:rPr>
          <w:rFonts w:ascii="Times New Roman" w:hAnsi="Times New Roman"/>
          <w:szCs w:val="28"/>
        </w:rPr>
        <w:fldChar w:fldCharType="begin"/>
      </w:r>
      <w:r>
        <w:rPr>
          <w:rFonts w:ascii="Times New Roman" w:hAnsi="Times New Roman"/>
          <w:szCs w:val="28"/>
        </w:rPr>
        <w:instrText xml:space="preserve"> HYPERLINK \l _Toc26544 </w:instrText>
      </w:r>
      <w:r>
        <w:rPr>
          <w:rFonts w:ascii="Times New Roman" w:hAnsi="Times New Roman"/>
          <w:szCs w:val="28"/>
        </w:rPr>
        <w:fldChar w:fldCharType="separate"/>
      </w:r>
      <w:r>
        <w:rPr>
          <w:rFonts w:ascii="Times New Roman" w:cs="Times New Roman" w:hAnsi="Times New Roman"/>
          <w:szCs w:val="32"/>
        </w:rPr>
        <w:t>第一章  竞争性磋商公告</w:t>
      </w:r>
      <w:r>
        <w:tab/>
      </w:r>
      <w:r>
        <w:fldChar w:fldCharType="begin"/>
      </w:r>
      <w:r>
        <w:instrText xml:space="preserve"> PAGEREF _Toc26544 \h </w:instrText>
      </w:r>
      <w:r>
        <w:fldChar w:fldCharType="separate"/>
      </w:r>
      <w:r>
        <w:t>1</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_Toc9544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二</w:t>
      </w:r>
      <w:r>
        <w:rPr>
          <w:rFonts w:ascii="Times New Roman" w:cs="Times New Roman" w:hAnsi="Times New Roman"/>
          <w:szCs w:val="32"/>
        </w:rPr>
        <w:t xml:space="preserve">章  </w:t>
      </w:r>
      <w:r>
        <w:rPr>
          <w:rFonts w:ascii="Times New Roman" w:cs="Times New Roman" w:hAnsi="Times New Roman" w:hint="eastAsia"/>
          <w:szCs w:val="32"/>
        </w:rPr>
        <w:t>采购需求</w:t>
      </w:r>
      <w:r>
        <w:tab/>
      </w:r>
      <w:r>
        <w:fldChar w:fldCharType="begin"/>
      </w:r>
      <w:r>
        <w:instrText xml:space="preserve"> PAGEREF _Toc9544 \h </w:instrText>
      </w:r>
      <w:r>
        <w:fldChar w:fldCharType="separate"/>
      </w:r>
      <w:r>
        <w:t>4</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_Toc20486 </w:instrText>
      </w:r>
      <w:r>
        <w:rPr>
          <w:rFonts w:ascii="Times New Roman" w:hAnsi="Times New Roman"/>
          <w:szCs w:val="28"/>
        </w:rPr>
        <w:fldChar w:fldCharType="separate"/>
      </w:r>
      <w:r>
        <w:rPr>
          <w:rFonts w:ascii="Times New Roman" w:cs="Times New Roman" w:hAnsi="Times New Roman"/>
          <w:szCs w:val="32"/>
        </w:rPr>
        <w:t>第三章  供应商须知</w:t>
      </w:r>
      <w:r>
        <w:tab/>
      </w:r>
      <w:r>
        <w:fldChar w:fldCharType="begin"/>
      </w:r>
      <w:r>
        <w:instrText xml:space="preserve"> PAGEREF _Toc20486 \h </w:instrText>
      </w:r>
      <w:r>
        <w:fldChar w:fldCharType="separate"/>
      </w:r>
      <w:r>
        <w:t>10</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_Toc14315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四</w:t>
      </w:r>
      <w:r>
        <w:rPr>
          <w:rFonts w:ascii="Times New Roman" w:cs="Times New Roman" w:hAnsi="Times New Roman"/>
          <w:szCs w:val="32"/>
        </w:rPr>
        <w:t>章  评审方法及标准</w:t>
      </w:r>
      <w:r>
        <w:tab/>
      </w:r>
      <w:r>
        <w:fldChar w:fldCharType="begin"/>
      </w:r>
      <w:r>
        <w:instrText xml:space="preserve"> PAGEREF _Toc14315 \h </w:instrText>
      </w:r>
      <w:r>
        <w:fldChar w:fldCharType="separate"/>
      </w:r>
      <w:r>
        <w:t>26</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_Toc20425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五</w:t>
      </w:r>
      <w:r>
        <w:rPr>
          <w:rFonts w:ascii="Times New Roman" w:cs="Times New Roman" w:hAnsi="Times New Roman"/>
          <w:szCs w:val="32"/>
        </w:rPr>
        <w:t>章  合同主要条款格式</w:t>
      </w:r>
      <w:r>
        <w:tab/>
      </w:r>
      <w:r>
        <w:fldChar w:fldCharType="begin"/>
      </w:r>
      <w:r>
        <w:instrText xml:space="preserve"> PAGEREF _Toc20425 \h </w:instrText>
      </w:r>
      <w:r>
        <w:fldChar w:fldCharType="separate"/>
      </w:r>
      <w:r>
        <w:t>32</w:t>
      </w:r>
      <w:r>
        <w:fldChar w:fldCharType="end"/>
      </w:r>
      <w:r>
        <w:rPr>
          <w:rFonts w:ascii="Times New Roman" w:hAnsi="Times New Roman"/>
          <w:szCs w:val="28"/>
        </w:rPr>
        <w:fldChar w:fldCharType="end"/>
      </w:r>
    </w:p>
    <w:p>
      <w:pPr>
        <w:pStyle w:val="38"/>
        <w:tabs>
          <w:tab w:val="clear" w:pos="8398"/>
          <w:tab w:val="right" w:leader="dot" w:pos="9070"/>
        </w:tabs>
      </w:pPr>
      <w:r>
        <w:rPr>
          <w:rFonts w:ascii="Times New Roman" w:hAnsi="Times New Roman"/>
          <w:szCs w:val="28"/>
        </w:rPr>
        <w:fldChar w:fldCharType="begin"/>
      </w:r>
      <w:r>
        <w:rPr>
          <w:rFonts w:ascii="Times New Roman" w:hAnsi="Times New Roman"/>
          <w:szCs w:val="28"/>
        </w:rPr>
        <w:instrText xml:space="preserve"> HYPERLINK \l _Toc10508 </w:instrText>
      </w:r>
      <w:r>
        <w:rPr>
          <w:rFonts w:ascii="Times New Roman" w:hAnsi="Times New Roman"/>
          <w:szCs w:val="28"/>
        </w:rPr>
        <w:fldChar w:fldCharType="separate"/>
      </w:r>
      <w:r>
        <w:rPr>
          <w:rFonts w:ascii="Times New Roman" w:cs="Times New Roman" w:hAnsi="Times New Roman"/>
          <w:szCs w:val="32"/>
        </w:rPr>
        <w:t>第</w:t>
      </w:r>
      <w:r>
        <w:rPr>
          <w:rFonts w:ascii="Times New Roman" w:cs="Times New Roman" w:hAnsi="Times New Roman" w:hint="eastAsia"/>
          <w:szCs w:val="32"/>
        </w:rPr>
        <w:t>六</w:t>
      </w:r>
      <w:r>
        <w:rPr>
          <w:rFonts w:ascii="Times New Roman" w:cs="Times New Roman" w:hAnsi="Times New Roman"/>
          <w:szCs w:val="32"/>
        </w:rPr>
        <w:t>章  响应文件格式</w:t>
      </w:r>
      <w:r>
        <w:tab/>
      </w:r>
      <w:r>
        <w:fldChar w:fldCharType="begin"/>
      </w:r>
      <w:r>
        <w:instrText xml:space="preserve"> PAGEREF _Toc10508 \h </w:instrText>
      </w:r>
      <w:r>
        <w:fldChar w:fldCharType="separate"/>
      </w:r>
      <w:r>
        <w:t>90</w:t>
      </w:r>
      <w:r>
        <w:fldChar w:fldCharType="end"/>
      </w:r>
      <w:r>
        <w:rPr>
          <w:rFonts w:ascii="Times New Roman" w:hAnsi="Times New Roman"/>
          <w:szCs w:val="28"/>
        </w:rPr>
        <w:fldChar w:fldCharType="end"/>
      </w:r>
    </w:p>
    <w:p>
      <w:pPr>
        <w:pStyle w:val="38"/>
        <w:tabs>
          <w:tab w:val="right" w:leader="dot" w:pos="8398"/>
        </w:tabs>
        <w:rPr>
          <w:rFonts w:ascii="Times New Roman" w:hAnsi="Times New Roman"/>
          <w:sz w:val="28"/>
          <w:szCs w:val="28"/>
        </w:rPr>
        <w:sectPr>
          <w:headerReference w:type="first" r:id="rId6"/>
          <w:pgSz w:w="11906" w:h="16838"/>
          <w:pgMar w:top="1418" w:right="1418" w:bottom="1246" w:left="1418" w:header="851" w:footer="992" w:gutter="0"/>
          <w:pgNumType w:start="0"/>
          <w:titlePg/>
          <w:docGrid w:linePitch="312" w:charSpace="0"/>
        </w:sectPr>
      </w:pPr>
      <w:r>
        <w:rPr>
          <w:rFonts w:ascii="Times New Roman" w:hAnsi="Times New Roman"/>
          <w:szCs w:val="28"/>
        </w:rPr>
        <w:fldChar w:fldCharType="end"/>
      </w:r>
    </w:p>
    <w:p>
      <w:pPr>
        <w:pStyle w:val="31"/>
        <w:snapToGrid w:val="0"/>
        <w:spacing w:before="120" w:after="120" w:line="320" w:lineRule="exact"/>
        <w:jc w:val="center"/>
        <w:outlineLvl w:val="0"/>
        <w:rPr>
          <w:rFonts w:ascii="Times New Roman" w:cs="Times New Roman" w:hAnsi="Times New Roman"/>
          <w:sz w:val="32"/>
          <w:szCs w:val="32"/>
        </w:rPr>
      </w:pPr>
      <w:bookmarkStart w:id="7" w:name="_Toc254970630"/>
      <w:bookmarkStart w:id="8" w:name="_Toc254970489"/>
      <w:bookmarkStart w:id="9" w:name="_Toc26544"/>
      <w:r>
        <w:rPr>
          <w:rFonts w:ascii="Times New Roman" w:cs="Times New Roman" w:hAnsi="Times New Roman"/>
          <w:sz w:val="32"/>
          <w:szCs w:val="32"/>
        </w:rPr>
        <w:t xml:space="preserve">第一章  </w:t>
      </w:r>
      <w:bookmarkEnd w:id="7"/>
      <w:bookmarkEnd w:id="8"/>
      <w:r>
        <w:rPr>
          <w:rFonts w:ascii="Times New Roman" w:cs="Times New Roman" w:hAnsi="Times New Roman"/>
          <w:sz w:val="32"/>
          <w:szCs w:val="32"/>
        </w:rPr>
        <w:t>竞争性磋商公告</w:t>
      </w:r>
      <w:bookmarkEnd w:id="9"/>
    </w:p>
    <w:p>
      <w:pPr>
        <w:spacing w:line="400" w:lineRule="exact"/>
        <w:jc w:val="center"/>
        <w:rPr>
          <w:kern w:val="0"/>
          <w:sz w:val="24"/>
        </w:rPr>
      </w:pPr>
      <w:bookmarkStart w:id="10" w:name="_Hlk209194479"/>
      <w:r>
        <w:rPr>
          <w:rFonts w:hint="eastAsia"/>
          <w:kern w:val="0"/>
          <w:sz w:val="24"/>
          <w:lang w:eastAsia="zh-CN"/>
        </w:rPr>
        <w:t>广西桂工建设管理咨询有限公司</w:t>
      </w:r>
      <w:r>
        <w:rPr>
          <w:kern w:val="0"/>
          <w:sz w:val="24"/>
        </w:rPr>
        <w:t>关于</w:t>
      </w:r>
      <w:r>
        <w:rPr>
          <w:rFonts w:hint="eastAsia"/>
          <w:kern w:val="0"/>
          <w:sz w:val="24"/>
          <w:lang w:eastAsia="zh-CN"/>
        </w:rPr>
        <w:t>南宁海关艰苦地区边关生活设施保障能力提升工程（二期）项目-友谊关海关项目</w:t>
      </w:r>
      <w:r>
        <w:rPr>
          <w:kern w:val="0"/>
          <w:sz w:val="24"/>
        </w:rPr>
        <w:t>(</w:t>
      </w:r>
      <w:r>
        <w:rPr>
          <w:rFonts w:hint="eastAsia"/>
          <w:kern w:val="0"/>
          <w:sz w:val="24"/>
          <w:lang w:eastAsia="zh-CN"/>
        </w:rPr>
        <w:t>GGZX2025-ZB-288</w:t>
      </w:r>
      <w:r>
        <w:rPr>
          <w:kern w:val="0"/>
          <w:sz w:val="24"/>
        </w:rPr>
        <w:t>)竞争性磋商公告</w:t>
      </w:r>
    </w:p>
    <w:p>
      <w:pPr>
        <w:spacing w:line="312" w:lineRule="auto"/>
        <w:ind w:firstLineChars="200" w:firstLine="420"/>
        <w:jc w:val="left"/>
        <w:rPr>
          <w:kern w:val="0"/>
          <w:szCs w:val="21"/>
        </w:rPr>
      </w:pPr>
    </w:p>
    <w:p>
      <w:pPr>
        <w:spacing w:line="312" w:lineRule="auto"/>
        <w:ind w:firstLineChars="200" w:firstLine="420"/>
        <w:jc w:val="left"/>
        <w:rPr>
          <w:kern w:val="0"/>
          <w:szCs w:val="21"/>
        </w:rPr>
      </w:pPr>
      <w:r>
        <w:rPr>
          <w:rFonts w:hint="eastAsia"/>
          <w:kern w:val="0"/>
          <w:szCs w:val="21"/>
        </w:rPr>
        <w:t>项目概况：</w:t>
      </w:r>
      <w:r>
        <w:rPr>
          <w:rFonts w:hint="eastAsia"/>
          <w:szCs w:val="21"/>
          <w:lang w:eastAsia="zh-CN"/>
        </w:rPr>
        <w:t>南宁海关艰苦地区边关生活设施保障能力提升工程（二期）项目-友谊关海关项目</w:t>
      </w:r>
      <w:r>
        <w:rPr>
          <w:rFonts w:hint="eastAsia"/>
          <w:kern w:val="0"/>
          <w:szCs w:val="21"/>
        </w:rPr>
        <w:t>的潜在供应商应在</w:t>
      </w:r>
      <w:r>
        <w:rPr>
          <w:rFonts w:ascii="宋体" w:cs="宋体" w:hint="eastAsia"/>
          <w:color w:val="auto"/>
          <w:szCs w:val="21"/>
          <w:lang w:eastAsia="zh-CN"/>
          <w:highlight w:val="auto"/>
        </w:rPr>
        <w:t>中国（广西）自由贸易试验区南宁片区庆歌路20号富雅•国际商务大厦B栋十三层1301</w:t>
      </w:r>
      <w:r>
        <w:rPr>
          <w:rFonts w:ascii="宋体" w:eastAsia="宋体" w:cs="宋体" w:hint="eastAsia"/>
          <w:color w:val="auto"/>
          <w:szCs w:val="21"/>
          <w:lang w:eastAsia="zh-CN"/>
          <w:highlight w:val="auto"/>
        </w:rPr>
        <w:t>广西桂工建设管理咨询有限公司（</w:t>
      </w:r>
      <w:r>
        <w:rPr>
          <w:rFonts w:ascii="宋体" w:eastAsia="宋体" w:cs="宋体" w:hint="eastAsia"/>
          <w:color w:val="auto"/>
          <w:szCs w:val="21"/>
          <w:lang w:val="en-US" w:eastAsia="zh-CN"/>
          <w:highlight w:val="auto"/>
        </w:rPr>
        <w:t>网上获取：</w:t>
      </w:r>
      <w:r>
        <w:rPr>
          <w:rFonts w:ascii="宋体" w:eastAsia="宋体" w:cs="宋体" w:hint="eastAsia"/>
          <w:color w:val="auto"/>
          <w:szCs w:val="21"/>
          <w:lang w:val="en-US" w:eastAsia="zh-CN"/>
          <w:highlight w:val="auto"/>
        </w:rPr>
        <w:fldChar w:fldCharType="begin"/>
      </w:r>
      <w:r>
        <w:instrText>HYPERLINK "mailto:402426364@qq.com"</w:instrText>
      </w:r>
      <w:r>
        <w:rPr>
          <w:rFonts w:ascii="宋体" w:eastAsia="宋体" w:cs="宋体" w:hint="eastAsia"/>
          <w:color w:val="auto"/>
          <w:szCs w:val="21"/>
          <w:lang w:val="en-US" w:eastAsia="zh-CN"/>
          <w:highlight w:val="auto"/>
        </w:rPr>
        <w:fldChar w:fldCharType="separate"/>
      </w:r>
      <w:r>
        <w:rPr>
          <w:rFonts w:ascii="宋体" w:eastAsia="宋体" w:cs="宋体" w:hint="eastAsia"/>
          <w:color w:val="auto"/>
          <w:szCs w:val="21"/>
          <w:lang w:val="en-US" w:eastAsia="zh-CN"/>
          <w:highlight w:val="auto"/>
        </w:rPr>
        <w:t>gxggjl@163.com</w:t>
      </w:r>
      <w:r>
        <w:rPr>
          <w:rFonts w:ascii="宋体" w:eastAsia="宋体" w:cs="宋体" w:hint="eastAsia"/>
          <w:color w:val="auto"/>
          <w:szCs w:val="21"/>
          <w:lang w:val="en-US" w:eastAsia="zh-CN"/>
          <w:highlight w:val="auto"/>
        </w:rPr>
        <w:fldChar w:fldCharType="end"/>
      </w:r>
      <w:r>
        <w:rPr>
          <w:rFonts w:ascii="宋体" w:eastAsia="宋体" w:cs="宋体" w:hint="eastAsia"/>
          <w:color w:val="auto"/>
          <w:szCs w:val="21"/>
          <w:lang w:eastAsia="zh-CN"/>
          <w:highlight w:val="auto"/>
        </w:rPr>
        <w:t>）</w:t>
      </w:r>
      <w:r>
        <w:rPr>
          <w:rFonts w:hint="eastAsia"/>
          <w:szCs w:val="21"/>
        </w:rPr>
        <w:t>获取采购文件，并于2025年 10月</w:t>
      </w:r>
      <w:r>
        <w:rPr>
          <w:rFonts w:hint="eastAsia"/>
          <w:szCs w:val="21"/>
          <w:lang w:val="en-US" w:eastAsia="zh-CN"/>
        </w:rPr>
        <w:t>2</w:t>
      </w:r>
      <w:r>
        <w:rPr>
          <w:szCs w:val="21"/>
          <w:lang w:val="en-US" w:eastAsia="zh-CN"/>
        </w:rPr>
        <w:t>1</w:t>
      </w:r>
      <w:r>
        <w:rPr>
          <w:rFonts w:hint="eastAsia"/>
          <w:szCs w:val="21"/>
        </w:rPr>
        <w:t>日</w:t>
      </w:r>
      <w:r>
        <w:rPr>
          <w:szCs w:val="21"/>
        </w:rPr>
        <w:t>15</w:t>
      </w:r>
      <w:r>
        <w:rPr>
          <w:rFonts w:hint="eastAsia"/>
          <w:szCs w:val="21"/>
        </w:rPr>
        <w:t>点30分（北京时间）前提交响应</w:t>
      </w:r>
      <w:r>
        <w:rPr>
          <w:szCs w:val="21"/>
        </w:rPr>
        <w:t>文件</w:t>
      </w:r>
      <w:r>
        <w:rPr>
          <w:rFonts w:hint="eastAsia"/>
          <w:szCs w:val="21"/>
        </w:rPr>
        <w:t>。</w:t>
      </w:r>
    </w:p>
    <w:p>
      <w:pPr>
        <w:spacing w:line="312" w:lineRule="auto"/>
        <w:ind w:firstLineChars="200" w:firstLine="440"/>
        <w:jc w:val="left"/>
        <w:rPr>
          <w:b/>
          <w:bCs/>
          <w:kern w:val="0"/>
          <w:sz w:val="22"/>
          <w:szCs w:val="22"/>
        </w:rPr>
      </w:pPr>
      <w:r>
        <w:rPr>
          <w:rFonts w:hint="eastAsia"/>
          <w:b/>
          <w:bCs/>
          <w:kern w:val="0"/>
          <w:sz w:val="22"/>
          <w:szCs w:val="22"/>
        </w:rPr>
        <w:t>一、项目基本情况</w:t>
      </w:r>
      <w:bookmarkStart w:id="11" w:name="_GoBack"/>
      <w:bookmarkEnd w:id="11"/>
    </w:p>
    <w:p>
      <w:pPr>
        <w:spacing w:line="312" w:lineRule="auto"/>
        <w:ind w:firstLineChars="200" w:firstLine="420"/>
        <w:jc w:val="left"/>
        <w:rPr>
          <w:rFonts w:eastAsia="宋体" w:hint="eastAsia"/>
          <w:kern w:val="0"/>
          <w:szCs w:val="21"/>
          <w:lang w:eastAsia="zh-CN"/>
        </w:rPr>
      </w:pPr>
      <w:r>
        <w:rPr>
          <w:kern w:val="0"/>
          <w:szCs w:val="21"/>
        </w:rPr>
        <w:t>项目编号：</w:t>
      </w:r>
      <w:r>
        <w:rPr>
          <w:rFonts w:hint="eastAsia"/>
          <w:szCs w:val="21"/>
          <w:lang w:eastAsia="zh-CN"/>
        </w:rPr>
        <w:t>GGZX2025-ZB-288</w:t>
      </w:r>
    </w:p>
    <w:p>
      <w:pPr>
        <w:spacing w:line="312" w:lineRule="auto"/>
        <w:ind w:firstLineChars="200" w:firstLine="420"/>
        <w:jc w:val="left"/>
        <w:rPr>
          <w:rFonts w:eastAsia="宋体" w:hint="eastAsia"/>
          <w:kern w:val="0"/>
          <w:szCs w:val="21"/>
          <w:lang w:eastAsia="zh-CN"/>
        </w:rPr>
      </w:pPr>
      <w:r>
        <w:rPr>
          <w:kern w:val="0"/>
          <w:szCs w:val="21"/>
        </w:rPr>
        <w:t>项目名称：</w:t>
      </w:r>
      <w:r>
        <w:rPr>
          <w:rFonts w:hint="eastAsia"/>
          <w:szCs w:val="21"/>
          <w:lang w:eastAsia="zh-CN"/>
        </w:rPr>
        <w:t>南宁海关艰苦地区边关生活设施保障能力提升工程（二期）项目-友谊关海关项目</w:t>
      </w:r>
    </w:p>
    <w:p>
      <w:pPr>
        <w:spacing w:line="312" w:lineRule="auto"/>
        <w:ind w:firstLineChars="200" w:firstLine="420"/>
        <w:jc w:val="left"/>
        <w:rPr>
          <w:kern w:val="0"/>
          <w:szCs w:val="21"/>
        </w:rPr>
      </w:pPr>
      <w:bookmarkStart w:id="12" w:name="_Hlk77608065"/>
      <w:r>
        <w:rPr>
          <w:rFonts w:hint="eastAsia"/>
          <w:kern w:val="0"/>
          <w:szCs w:val="21"/>
        </w:rPr>
        <w:t>采购方式：竞争性磋商</w:t>
      </w:r>
    </w:p>
    <w:p>
      <w:pPr>
        <w:spacing w:line="312" w:lineRule="auto"/>
        <w:ind w:firstLineChars="200" w:firstLine="420"/>
        <w:jc w:val="left"/>
        <w:rPr>
          <w:kern w:val="0"/>
          <w:szCs w:val="21"/>
        </w:rPr>
      </w:pPr>
      <w:r>
        <w:rPr>
          <w:kern w:val="0"/>
          <w:szCs w:val="21"/>
        </w:rPr>
        <w:t>预算</w:t>
      </w:r>
      <w:r>
        <w:rPr>
          <w:rFonts w:hint="eastAsia"/>
          <w:kern w:val="0"/>
          <w:szCs w:val="21"/>
        </w:rPr>
        <w:t>总</w:t>
      </w:r>
      <w:r>
        <w:rPr>
          <w:kern w:val="0"/>
          <w:szCs w:val="21"/>
        </w:rPr>
        <w:t>金额</w:t>
      </w:r>
      <w:r>
        <w:rPr>
          <w:rFonts w:hint="eastAsia"/>
          <w:kern w:val="0"/>
          <w:szCs w:val="21"/>
        </w:rPr>
        <w:t>（元）</w:t>
      </w:r>
      <w:r>
        <w:rPr>
          <w:kern w:val="0"/>
          <w:szCs w:val="21"/>
        </w:rPr>
        <w:t>：</w:t>
      </w:r>
      <w:r>
        <w:rPr>
          <w:rStyle w:val="63"/>
          <w:rFonts w:hint="eastAsia"/>
          <w:lang w:eastAsia="zh-CN"/>
        </w:rPr>
        <w:t>2,629,704.27</w:t>
      </w:r>
      <w:r>
        <w:rPr>
          <w:rStyle w:val="63"/>
          <w:rFonts w:hint="eastAsia"/>
        </w:rPr>
        <w:t>元</w:t>
      </w:r>
    </w:p>
    <w:p>
      <w:pPr>
        <w:spacing w:line="312" w:lineRule="auto"/>
        <w:ind w:firstLineChars="200" w:firstLine="420"/>
        <w:jc w:val="left"/>
        <w:rPr>
          <w:kern w:val="0"/>
          <w:szCs w:val="21"/>
        </w:rPr>
      </w:pPr>
      <w:r>
        <w:rPr>
          <w:rFonts w:hint="eastAsia"/>
          <w:kern w:val="0"/>
          <w:szCs w:val="21"/>
        </w:rPr>
        <w:t>采购需求</w:t>
      </w:r>
      <w:r>
        <w:rPr>
          <w:kern w:val="0"/>
          <w:szCs w:val="21"/>
        </w:rPr>
        <w:t>：</w:t>
      </w:r>
    </w:p>
    <w:p>
      <w:pPr>
        <w:spacing w:line="312" w:lineRule="auto"/>
        <w:ind w:firstLineChars="350" w:firstLine="735"/>
        <w:jc w:val="left"/>
        <w:rPr>
          <w:rFonts w:eastAsia="宋体" w:hint="eastAsia"/>
          <w:kern w:val="0"/>
          <w:szCs w:val="21"/>
          <w:lang w:eastAsia="zh-CN"/>
        </w:rPr>
      </w:pPr>
      <w:r>
        <w:rPr>
          <w:rFonts w:hint="eastAsia"/>
          <w:kern w:val="0"/>
          <w:szCs w:val="21"/>
        </w:rPr>
        <w:t>标项名称：</w:t>
      </w:r>
      <w:r>
        <w:rPr>
          <w:rFonts w:hint="eastAsia"/>
          <w:szCs w:val="21"/>
          <w:lang w:eastAsia="zh-CN"/>
        </w:rPr>
        <w:t>南宁海关艰苦地区边关生活设施保障能力提升工程（二期）项目-友谊关海关项目</w:t>
      </w:r>
    </w:p>
    <w:p>
      <w:pPr>
        <w:spacing w:line="312" w:lineRule="auto"/>
        <w:ind w:firstLineChars="350" w:firstLine="735"/>
        <w:jc w:val="left"/>
        <w:rPr>
          <w:kern w:val="0"/>
          <w:szCs w:val="21"/>
        </w:rPr>
      </w:pPr>
      <w:r>
        <w:rPr>
          <w:rFonts w:hint="eastAsia"/>
          <w:kern w:val="0"/>
          <w:szCs w:val="21"/>
        </w:rPr>
        <w:t>数量：1项</w:t>
      </w:r>
    </w:p>
    <w:p>
      <w:pPr>
        <w:spacing w:line="312" w:lineRule="auto"/>
        <w:ind w:firstLineChars="350" w:firstLine="735"/>
        <w:jc w:val="left"/>
        <w:rPr>
          <w:kern w:val="0"/>
          <w:szCs w:val="21"/>
        </w:rPr>
      </w:pPr>
      <w:r>
        <w:rPr>
          <w:rFonts w:hint="eastAsia"/>
          <w:kern w:val="0"/>
          <w:szCs w:val="21"/>
        </w:rPr>
        <w:t>预算金额（元）：</w:t>
      </w:r>
      <w:r>
        <w:rPr>
          <w:rStyle w:val="63"/>
          <w:rFonts w:hint="eastAsia"/>
          <w:lang w:eastAsia="zh-CN"/>
        </w:rPr>
        <w:t>2,629,704.27</w:t>
      </w:r>
      <w:r>
        <w:rPr>
          <w:rStyle w:val="63"/>
          <w:rFonts w:hint="eastAsia"/>
        </w:rPr>
        <w:t>元</w:t>
      </w:r>
    </w:p>
    <w:p>
      <w:pPr>
        <w:spacing w:line="312" w:lineRule="auto"/>
        <w:ind w:firstLineChars="350" w:firstLine="735"/>
        <w:jc w:val="left"/>
        <w:rPr>
          <w:kern w:val="0"/>
          <w:szCs w:val="21"/>
        </w:rPr>
      </w:pPr>
      <w:r>
        <w:rPr>
          <w:rFonts w:hint="eastAsia"/>
          <w:kern w:val="0"/>
          <w:szCs w:val="21"/>
        </w:rPr>
        <w:t>简要规格描述或项目基本概况介绍、用途：</w:t>
      </w:r>
      <w:r>
        <w:rPr>
          <w:rFonts w:ascii="宋体" w:cs="宋体" w:hint="eastAsia"/>
          <w:color w:val="auto"/>
          <w:szCs w:val="21"/>
          <w:lang w:val="zh-CN"/>
          <w:highlight w:val="auto"/>
        </w:rPr>
        <w:t>洗衣房、小医疗室、室内训练馆等改造。其中洗衣房始建年代不详，为单层公共建筑，建筑主要用材为M10红砖；小医疗室始建年代为90年，为公共建筑，建筑主要用材为M10红砖；室内训练馆始建年代不详，为体育建筑，建筑主要用材为M10红砖；建筑提升改造南大路1支9号生活区改造，建设成品机动车棚25个，面积约450㎡</w:t>
      </w:r>
      <w:r>
        <w:rPr>
          <w:rFonts w:hint="eastAsia"/>
          <w:kern w:val="0"/>
          <w:szCs w:val="21"/>
        </w:rPr>
        <w:t>。具体实施范围以设计图及工程量清单为准。</w:t>
      </w:r>
    </w:p>
    <w:p>
      <w:pPr>
        <w:spacing w:line="312" w:lineRule="auto"/>
        <w:ind w:firstLineChars="350" w:firstLine="735"/>
        <w:jc w:val="left"/>
        <w:rPr>
          <w:kern w:val="0"/>
          <w:szCs w:val="21"/>
        </w:rPr>
      </w:pPr>
      <w:r>
        <w:rPr>
          <w:rFonts w:hint="eastAsia"/>
          <w:kern w:val="0"/>
          <w:szCs w:val="21"/>
        </w:rPr>
        <w:t>最高限价（如有）：2,629,704.27元</w:t>
      </w:r>
    </w:p>
    <w:p>
      <w:pPr>
        <w:spacing w:line="312" w:lineRule="auto"/>
        <w:ind w:firstLineChars="350" w:firstLine="735"/>
        <w:jc w:val="left"/>
        <w:rPr>
          <w:kern w:val="0"/>
          <w:szCs w:val="21"/>
        </w:rPr>
      </w:pPr>
      <w:r>
        <w:rPr>
          <w:rFonts w:hint="eastAsia"/>
          <w:kern w:val="0"/>
          <w:szCs w:val="21"/>
        </w:rPr>
        <w:t>合同履约期限：</w:t>
      </w:r>
      <w:r>
        <w:rPr>
          <w:rFonts w:hint="eastAsia"/>
          <w:kern w:val="0"/>
          <w:szCs w:val="21"/>
          <w:lang w:val="en-US" w:eastAsia="zh-CN"/>
        </w:rPr>
        <w:t>60</w:t>
      </w:r>
      <w:r>
        <w:rPr>
          <w:rFonts w:hint="eastAsia"/>
          <w:kern w:val="0"/>
          <w:szCs w:val="21"/>
        </w:rPr>
        <w:t>日历天</w:t>
      </w:r>
    </w:p>
    <w:p>
      <w:pPr>
        <w:spacing w:line="312" w:lineRule="auto"/>
        <w:ind w:firstLineChars="350" w:firstLine="735"/>
        <w:jc w:val="left"/>
        <w:rPr>
          <w:kern w:val="0"/>
          <w:szCs w:val="21"/>
        </w:rPr>
      </w:pPr>
      <w:r>
        <w:rPr>
          <w:kern w:val="0"/>
          <w:szCs w:val="21"/>
        </w:rPr>
        <w:t>本项目</w:t>
      </w:r>
      <w:r>
        <w:rPr>
          <w:rFonts w:hint="eastAsia"/>
          <w:kern w:val="0"/>
          <w:szCs w:val="21"/>
        </w:rPr>
        <w:t>（</w:t>
      </w:r>
      <w:r>
        <w:rPr>
          <w:rFonts w:hint="eastAsia"/>
          <w:szCs w:val="21"/>
        </w:rPr>
        <w:t>否</w:t>
      </w:r>
      <w:r>
        <w:rPr>
          <w:rFonts w:hint="eastAsia"/>
          <w:kern w:val="0"/>
          <w:szCs w:val="21"/>
        </w:rPr>
        <w:t>）接受</w:t>
      </w:r>
      <w:r>
        <w:rPr>
          <w:kern w:val="0"/>
          <w:szCs w:val="21"/>
        </w:rPr>
        <w:t>联合体。</w:t>
      </w:r>
    </w:p>
    <w:p>
      <w:pPr>
        <w:spacing w:line="312" w:lineRule="auto"/>
        <w:ind w:firstLineChars="350" w:firstLine="735"/>
        <w:jc w:val="left"/>
        <w:rPr>
          <w:kern w:val="0"/>
          <w:szCs w:val="21"/>
        </w:rPr>
      </w:pPr>
      <w:r>
        <w:rPr>
          <w:rFonts w:hint="eastAsia"/>
          <w:kern w:val="0"/>
          <w:szCs w:val="21"/>
        </w:rPr>
        <w:t>备注：</w:t>
      </w:r>
    </w:p>
    <w:p>
      <w:pPr>
        <w:spacing w:line="312" w:lineRule="auto"/>
        <w:ind w:firstLineChars="200" w:firstLine="440"/>
        <w:jc w:val="left"/>
        <w:rPr>
          <w:b/>
          <w:bCs/>
          <w:kern w:val="0"/>
          <w:sz w:val="22"/>
          <w:szCs w:val="22"/>
        </w:rPr>
      </w:pPr>
      <w:bookmarkEnd w:id="12"/>
      <w:r>
        <w:rPr>
          <w:rFonts w:hint="eastAsia"/>
          <w:b/>
          <w:bCs/>
          <w:kern w:val="0"/>
          <w:sz w:val="22"/>
          <w:szCs w:val="22"/>
        </w:rPr>
        <w:t>二、申请人的资格要求</w:t>
      </w:r>
    </w:p>
    <w:p>
      <w:pPr>
        <w:spacing w:line="312" w:lineRule="auto"/>
        <w:ind w:firstLineChars="200" w:firstLine="420"/>
        <w:jc w:val="left"/>
        <w:rPr>
          <w:kern w:val="0"/>
          <w:szCs w:val="21"/>
        </w:rPr>
      </w:pPr>
      <w:r>
        <w:rPr>
          <w:kern w:val="0"/>
          <w:szCs w:val="21"/>
        </w:rPr>
        <w:t>1</w:t>
      </w:r>
      <w:r>
        <w:rPr>
          <w:rFonts w:hint="eastAsia"/>
          <w:kern w:val="0"/>
          <w:szCs w:val="21"/>
        </w:rPr>
        <w:t>.满足</w:t>
      </w:r>
      <w:r>
        <w:rPr>
          <w:kern w:val="0"/>
          <w:szCs w:val="21"/>
        </w:rPr>
        <w:t>《中华人民共和国政府采购法》第二十二条规定；</w:t>
      </w:r>
    </w:p>
    <w:p>
      <w:pPr>
        <w:spacing w:line="312" w:lineRule="auto"/>
        <w:ind w:firstLineChars="200" w:firstLine="420"/>
        <w:jc w:val="left"/>
        <w:rPr>
          <w:strike/>
          <w:dstrike w:val="0"/>
          <w:kern w:val="0"/>
          <w:szCs w:val="21"/>
        </w:rPr>
      </w:pPr>
      <w:r>
        <w:rPr>
          <w:rFonts w:hint="eastAsia"/>
          <w:szCs w:val="21"/>
        </w:rPr>
        <w:t>2</w:t>
      </w:r>
      <w:r>
        <w:rPr>
          <w:rFonts w:hint="eastAsia"/>
          <w:kern w:val="0"/>
          <w:szCs w:val="21"/>
        </w:rPr>
        <w:t>.</w:t>
      </w:r>
      <w:r>
        <w:rPr>
          <w:rFonts w:hint="eastAsia"/>
          <w:szCs w:val="21"/>
        </w:rPr>
        <w:t>落实政府采购政策需满足的资格要求：</w:t>
      </w:r>
      <w:bookmarkStart w:id="13" w:name="_Hlk132732708"/>
      <w:r>
        <w:rPr>
          <w:rFonts w:hint="eastAsia"/>
          <w:kern w:val="0"/>
          <w:szCs w:val="21"/>
        </w:rPr>
        <w:t>无</w:t>
      </w:r>
      <w:bookmarkEnd w:id="13"/>
      <w:r>
        <w:rPr>
          <w:kern w:val="0"/>
          <w:szCs w:val="21"/>
        </w:rPr>
        <w:t>。</w:t>
      </w:r>
    </w:p>
    <w:p>
      <w:pPr>
        <w:spacing w:line="312" w:lineRule="auto"/>
        <w:ind w:firstLineChars="200" w:firstLine="420"/>
        <w:jc w:val="left"/>
        <w:rPr>
          <w:kern w:val="0"/>
          <w:szCs w:val="21"/>
        </w:rPr>
      </w:pPr>
      <w:r>
        <w:rPr>
          <w:kern w:val="0"/>
          <w:szCs w:val="21"/>
        </w:rPr>
        <w:t>3</w:t>
      </w:r>
      <w:r>
        <w:rPr>
          <w:rFonts w:hint="eastAsia"/>
          <w:kern w:val="0"/>
          <w:szCs w:val="21"/>
        </w:rPr>
        <w:t>.本项目的</w:t>
      </w:r>
      <w:r>
        <w:rPr>
          <w:kern w:val="0"/>
          <w:szCs w:val="21"/>
        </w:rPr>
        <w:t>特定资格</w:t>
      </w:r>
      <w:r>
        <w:rPr>
          <w:rFonts w:hint="eastAsia"/>
          <w:kern w:val="0"/>
          <w:szCs w:val="21"/>
        </w:rPr>
        <w:t>要求</w:t>
      </w:r>
      <w:r>
        <w:rPr>
          <w:kern w:val="0"/>
          <w:szCs w:val="21"/>
        </w:rPr>
        <w:t>：</w:t>
      </w:r>
    </w:p>
    <w:p>
      <w:pPr>
        <w:spacing w:line="312" w:lineRule="auto"/>
        <w:ind w:firstLineChars="200" w:firstLine="420"/>
        <w:jc w:val="left"/>
        <w:rPr>
          <w:kern w:val="0"/>
          <w:szCs w:val="21"/>
        </w:rPr>
      </w:pPr>
      <w:r>
        <w:rPr>
          <w:kern w:val="0"/>
          <w:szCs w:val="21"/>
        </w:rPr>
        <w:t>（1）资质要求：具备</w:t>
      </w:r>
      <w:r>
        <w:rPr>
          <w:rFonts w:hint="eastAsia"/>
          <w:kern w:val="0"/>
          <w:szCs w:val="21"/>
          <w:u w:val="single"/>
        </w:rPr>
        <w:t>建筑工程施工总承包三</w:t>
      </w:r>
      <w:r>
        <w:rPr>
          <w:kern w:val="0"/>
          <w:szCs w:val="21"/>
        </w:rPr>
        <w:t>级（含）以上资质</w:t>
      </w:r>
      <w:r>
        <w:rPr>
          <w:rFonts w:hint="eastAsia"/>
          <w:kern w:val="0"/>
          <w:szCs w:val="21"/>
        </w:rPr>
        <w:t>，</w:t>
      </w:r>
      <w:r>
        <w:rPr>
          <w:szCs w:val="21"/>
        </w:rPr>
        <w:t>具备有效的安全生产许可证</w:t>
      </w:r>
      <w:r>
        <w:rPr>
          <w:kern w:val="0"/>
          <w:szCs w:val="21"/>
        </w:rPr>
        <w:t>。</w:t>
      </w:r>
    </w:p>
    <w:p>
      <w:pPr>
        <w:spacing w:line="312" w:lineRule="auto"/>
        <w:ind w:firstLineChars="200" w:firstLine="420"/>
        <w:jc w:val="left"/>
        <w:rPr>
          <w:kern w:val="0"/>
          <w:szCs w:val="21"/>
        </w:rPr>
      </w:pPr>
      <w:r>
        <w:rPr>
          <w:rFonts w:hint="eastAsia"/>
          <w:kern w:val="0"/>
          <w:szCs w:val="21"/>
        </w:rPr>
        <w:t>（2）人员要求</w:t>
      </w:r>
    </w:p>
    <w:p>
      <w:pPr>
        <w:spacing w:line="312" w:lineRule="auto"/>
        <w:ind w:firstLineChars="200" w:firstLine="420"/>
        <w:jc w:val="left"/>
        <w:rPr>
          <w:kern w:val="0"/>
          <w:szCs w:val="21"/>
        </w:rPr>
      </w:pPr>
      <w:r>
        <w:rPr>
          <w:rFonts w:hint="eastAsia"/>
          <w:kern w:val="0"/>
          <w:szCs w:val="21"/>
        </w:rPr>
        <w:t>项目经理要求：</w:t>
      </w:r>
      <w:r>
        <w:rPr>
          <w:rFonts w:hint="eastAsia"/>
          <w:u w:val="single"/>
        </w:rPr>
        <w:t>建筑工程</w:t>
      </w:r>
      <w:r>
        <w:t>专业</w:t>
      </w:r>
      <w:r>
        <w:rPr>
          <w:u w:val="single"/>
        </w:rPr>
        <w:t xml:space="preserve"> </w:t>
      </w:r>
      <w:r>
        <w:rPr>
          <w:rFonts w:hint="eastAsia"/>
          <w:u w:val="single"/>
        </w:rPr>
        <w:t>二</w:t>
      </w:r>
      <w:r>
        <w:rPr>
          <w:u w:val="single"/>
        </w:rPr>
        <w:t xml:space="preserve"> </w:t>
      </w:r>
      <w:r>
        <w:t>级以上（含</w:t>
      </w:r>
      <w:r>
        <w:rPr>
          <w:rFonts w:hint="eastAsia"/>
        </w:rPr>
        <w:t>本</w:t>
      </w:r>
      <w:r>
        <w:t>级）</w:t>
      </w:r>
      <w:r>
        <w:rPr>
          <w:kern w:val="0"/>
          <w:szCs w:val="21"/>
        </w:rPr>
        <w:t>注册建造师执业资格，</w:t>
      </w:r>
      <w:r>
        <w:rPr>
          <w:rFonts w:hint="eastAsia"/>
          <w:kern w:val="0"/>
          <w:szCs w:val="21"/>
        </w:rPr>
        <w:t>具备有效的</w:t>
      </w:r>
      <w:r>
        <w:rPr>
          <w:kern w:val="0"/>
          <w:szCs w:val="21"/>
        </w:rPr>
        <w:t>安全生产考核合格证书（B类）。</w:t>
      </w:r>
    </w:p>
    <w:p>
      <w:pPr>
        <w:spacing w:line="312" w:lineRule="auto"/>
        <w:ind w:firstLineChars="200" w:firstLine="420"/>
        <w:jc w:val="left"/>
        <w:rPr>
          <w:kern w:val="0"/>
          <w:szCs w:val="21"/>
        </w:rPr>
      </w:pPr>
      <w:r>
        <w:rPr>
          <w:rFonts w:hint="eastAsia"/>
          <w:kern w:val="0"/>
          <w:szCs w:val="21"/>
        </w:rPr>
        <w:t>技术负责人要求：无。</w:t>
      </w:r>
    </w:p>
    <w:p>
      <w:pPr>
        <w:spacing w:line="312" w:lineRule="auto"/>
        <w:ind w:firstLineChars="200" w:firstLine="420"/>
        <w:jc w:val="left"/>
        <w:rPr>
          <w:kern w:val="0"/>
          <w:szCs w:val="21"/>
        </w:rPr>
      </w:pPr>
      <w:r>
        <w:t>专职安全员</w:t>
      </w:r>
      <w:r>
        <w:rPr>
          <w:rFonts w:hint="eastAsia"/>
          <w:kern w:val="0"/>
          <w:szCs w:val="21"/>
        </w:rPr>
        <w:t>要求：</w:t>
      </w:r>
      <w:r>
        <w:t>须具备有效的安全生产考核合格证书（C类），人数符合住房和城乡建设部《建筑施工企业安全生产管理机构设置及专职安全生产管理人员配备办法》（建质〔2008〕91号）的规定</w:t>
      </w:r>
      <w:r>
        <w:rPr>
          <w:rFonts w:hint="eastAsia"/>
        </w:rPr>
        <w:t>不少于</w:t>
      </w:r>
      <w:r>
        <w:rPr>
          <w:rFonts w:hint="eastAsia"/>
          <w:u w:val="single"/>
        </w:rPr>
        <w:t xml:space="preserve"> 1</w:t>
      </w:r>
      <w:r>
        <w:rPr>
          <w:u w:val="single"/>
        </w:rPr>
        <w:t xml:space="preserve"> </w:t>
      </w:r>
      <w:r>
        <w:rPr>
          <w:rFonts w:hint="eastAsia"/>
        </w:rPr>
        <w:t>人</w:t>
      </w:r>
      <w:r>
        <w:t>。</w:t>
      </w:r>
    </w:p>
    <w:p>
      <w:pPr>
        <w:spacing w:line="312" w:lineRule="auto"/>
        <w:ind w:firstLineChars="200" w:firstLine="420"/>
        <w:jc w:val="left"/>
        <w:rPr>
          <w:kern w:val="0"/>
          <w:szCs w:val="21"/>
        </w:rPr>
      </w:pPr>
      <w:r>
        <w:rPr>
          <w:kern w:val="0"/>
          <w:szCs w:val="21"/>
        </w:rPr>
        <w:t>（3）业绩要求：无。</w:t>
      </w:r>
    </w:p>
    <w:p>
      <w:pPr>
        <w:spacing w:line="312" w:lineRule="auto"/>
        <w:ind w:firstLineChars="200" w:firstLine="420"/>
        <w:jc w:val="left"/>
        <w:rPr>
          <w:kern w:val="0"/>
          <w:szCs w:val="21"/>
        </w:rPr>
      </w:pPr>
      <w:r>
        <w:rPr>
          <w:kern w:val="0"/>
          <w:szCs w:val="21"/>
        </w:rPr>
        <w:t>（4）单位负责人为同一人或者存在直接控股、管理关系的不同供应商，不得参加本项目同一合同项下的政府采购活动。为本项目提供整体设计、规范编制或者项目管理、监理、检测等服务的供应商，不得再参加</w:t>
      </w:r>
      <w:r>
        <w:rPr>
          <w:rFonts w:hint="eastAsia"/>
          <w:kern w:val="0"/>
          <w:szCs w:val="21"/>
        </w:rPr>
        <w:t>本</w:t>
      </w:r>
      <w:r>
        <w:rPr>
          <w:kern w:val="0"/>
          <w:szCs w:val="21"/>
        </w:rPr>
        <w:t>项目的采购活动</w:t>
      </w:r>
      <w:r>
        <w:rPr>
          <w:rFonts w:hint="eastAsia"/>
          <w:kern w:val="0"/>
          <w:szCs w:val="21"/>
        </w:rPr>
        <w:t>。</w:t>
      </w:r>
    </w:p>
    <w:p>
      <w:pPr>
        <w:spacing w:line="312" w:lineRule="auto"/>
        <w:ind w:firstLineChars="200" w:firstLine="420"/>
        <w:jc w:val="left"/>
        <w:rPr>
          <w:kern w:val="0"/>
          <w:szCs w:val="21"/>
        </w:rPr>
      </w:pPr>
      <w:r>
        <w:rPr>
          <w:rFonts w:hint="eastAsia"/>
          <w:kern w:val="0"/>
          <w:szCs w:val="21"/>
        </w:rPr>
        <w:t>（</w:t>
      </w:r>
      <w:r>
        <w:rPr>
          <w:kern w:val="0"/>
          <w:szCs w:val="21"/>
        </w:rPr>
        <w:t>5</w:t>
      </w:r>
      <w:r>
        <w:rPr>
          <w:rFonts w:hint="eastAsia"/>
          <w:kern w:val="0"/>
          <w:szCs w:val="21"/>
        </w:rPr>
        <w:t>）</w:t>
      </w:r>
      <w:r>
        <w:rPr>
          <w:kern w:val="0"/>
          <w:szCs w:val="21"/>
        </w:rPr>
        <w:t>未被列入失信被执行人、重大税收违法失信主体、政府采购严重违法失信行为记录名单。</w:t>
      </w:r>
    </w:p>
    <w:p>
      <w:pPr>
        <w:spacing w:line="312" w:lineRule="auto"/>
        <w:ind w:firstLineChars="200" w:firstLine="420"/>
        <w:jc w:val="left"/>
        <w:rPr>
          <w:kern w:val="0"/>
          <w:szCs w:val="21"/>
        </w:rPr>
      </w:pPr>
      <w:bookmarkStart w:id="14" w:name="_Hlk132732817"/>
      <w:r>
        <w:rPr>
          <w:rFonts w:hint="eastAsia"/>
          <w:szCs w:val="21"/>
        </w:rPr>
        <w:t>（</w:t>
      </w:r>
      <w:r>
        <w:rPr>
          <w:szCs w:val="21"/>
        </w:rPr>
        <w:t>6</w:t>
      </w:r>
      <w:r>
        <w:rPr>
          <w:rFonts w:hint="eastAsia"/>
          <w:szCs w:val="21"/>
        </w:rPr>
        <w:t>）</w:t>
      </w:r>
      <w:r>
        <w:rPr>
          <w:rFonts w:hint="eastAsia"/>
          <w:kern w:val="0"/>
          <w:szCs w:val="21"/>
        </w:rPr>
        <w:t>本项目（不允许）分包。</w:t>
      </w:r>
    </w:p>
    <w:p>
      <w:pPr>
        <w:spacing w:line="312" w:lineRule="auto"/>
        <w:ind w:firstLineChars="200" w:firstLine="420"/>
        <w:jc w:val="left"/>
        <w:rPr>
          <w:szCs w:val="21"/>
        </w:rPr>
      </w:pPr>
      <w:r>
        <w:rPr>
          <w:rFonts w:hint="eastAsia"/>
          <w:kern w:val="0"/>
          <w:szCs w:val="21"/>
        </w:rPr>
        <w:t>（</w:t>
      </w:r>
      <w:r>
        <w:rPr>
          <w:kern w:val="0"/>
          <w:szCs w:val="21"/>
        </w:rPr>
        <w:t>7</w:t>
      </w:r>
      <w:r>
        <w:rPr>
          <w:rFonts w:hint="eastAsia"/>
          <w:kern w:val="0"/>
          <w:szCs w:val="21"/>
        </w:rPr>
        <w:t>）</w:t>
      </w:r>
      <w:r>
        <w:rPr>
          <w:kern w:val="0"/>
          <w:szCs w:val="21"/>
        </w:rPr>
        <w:t>本项目</w:t>
      </w:r>
      <w:r>
        <w:rPr>
          <w:rFonts w:hint="eastAsia"/>
          <w:kern w:val="0"/>
          <w:szCs w:val="21"/>
        </w:rPr>
        <w:t>（</w:t>
      </w:r>
      <w:r>
        <w:rPr>
          <w:kern w:val="0"/>
          <w:szCs w:val="21"/>
        </w:rPr>
        <w:t>不接受</w:t>
      </w:r>
      <w:r>
        <w:rPr>
          <w:rFonts w:hint="eastAsia"/>
          <w:kern w:val="0"/>
          <w:szCs w:val="21"/>
        </w:rPr>
        <w:t>）</w:t>
      </w:r>
      <w:r>
        <w:rPr>
          <w:kern w:val="0"/>
          <w:szCs w:val="21"/>
        </w:rPr>
        <w:t>联合体。</w:t>
      </w:r>
      <w:bookmarkEnd w:id="14"/>
    </w:p>
    <w:p>
      <w:pPr>
        <w:spacing w:line="312" w:lineRule="auto"/>
        <w:ind w:firstLineChars="200" w:firstLine="420"/>
        <w:jc w:val="left"/>
        <w:rPr>
          <w:kern w:val="0"/>
          <w:szCs w:val="21"/>
        </w:rPr>
      </w:pPr>
      <w:r>
        <w:rPr>
          <w:rFonts w:hint="eastAsia"/>
          <w:kern w:val="0"/>
          <w:szCs w:val="21"/>
        </w:rPr>
        <w:t>（</w:t>
      </w:r>
      <w:r>
        <w:rPr>
          <w:kern w:val="0"/>
          <w:szCs w:val="21"/>
        </w:rPr>
        <w:t>8</w:t>
      </w:r>
      <w:r>
        <w:rPr>
          <w:rFonts w:hint="eastAsia"/>
          <w:kern w:val="0"/>
          <w:szCs w:val="21"/>
        </w:rPr>
        <w:t>）</w:t>
      </w:r>
      <w:r>
        <w:rPr>
          <w:kern w:val="0"/>
          <w:szCs w:val="21"/>
        </w:rPr>
        <w:t>按照</w:t>
      </w:r>
      <w:r>
        <w:rPr>
          <w:rFonts w:hint="eastAsia"/>
        </w:rPr>
        <w:t>磋商</w:t>
      </w:r>
      <w:r>
        <w:rPr>
          <w:kern w:val="0"/>
          <w:szCs w:val="21"/>
        </w:rPr>
        <w:t>公告的规定获得</w:t>
      </w:r>
      <w:r>
        <w:rPr>
          <w:rFonts w:hint="eastAsia"/>
        </w:rPr>
        <w:t>采购文件</w:t>
      </w:r>
      <w:r>
        <w:rPr>
          <w:kern w:val="0"/>
          <w:szCs w:val="21"/>
        </w:rPr>
        <w:t>。</w:t>
      </w:r>
      <w:r>
        <w:rPr>
          <w:rFonts w:hint="eastAsia"/>
          <w:kern w:val="0"/>
          <w:szCs w:val="21"/>
        </w:rPr>
        <w:t>采购文件有规定时按要求提交磋商保证金。</w:t>
      </w:r>
    </w:p>
    <w:p>
      <w:pPr>
        <w:spacing w:line="312" w:lineRule="auto"/>
        <w:ind w:firstLineChars="200" w:firstLine="440"/>
        <w:jc w:val="left"/>
        <w:rPr>
          <w:b/>
          <w:bCs/>
          <w:kern w:val="0"/>
          <w:sz w:val="22"/>
          <w:szCs w:val="22"/>
        </w:rPr>
      </w:pPr>
      <w:r>
        <w:rPr>
          <w:rFonts w:hint="eastAsia"/>
          <w:b/>
          <w:bCs/>
          <w:kern w:val="0"/>
          <w:sz w:val="22"/>
          <w:szCs w:val="22"/>
        </w:rPr>
        <w:t>三、获取采购文件</w:t>
      </w:r>
    </w:p>
    <w:p>
      <w:pPr>
        <w:spacing w:line="312" w:lineRule="auto"/>
        <w:ind w:firstLineChars="200" w:firstLine="420"/>
        <w:jc w:val="left"/>
      </w:pPr>
      <w:r>
        <w:rPr>
          <w:rFonts w:hint="eastAsia"/>
        </w:rPr>
        <w:t>时间：</w:t>
      </w:r>
      <w:r>
        <w:rPr>
          <w:rFonts w:hint="eastAsia"/>
          <w:u w:val="single"/>
        </w:rPr>
        <w:t>2025年</w:t>
      </w:r>
      <w:r>
        <w:rPr>
          <w:rFonts w:hint="eastAsia"/>
          <w:u w:val="single"/>
          <w:lang w:val="en-US" w:eastAsia="zh-CN"/>
        </w:rPr>
        <w:t>10</w:t>
      </w:r>
      <w:r>
        <w:rPr>
          <w:rFonts w:hint="eastAsia"/>
          <w:u w:val="single"/>
        </w:rPr>
        <w:t>月</w:t>
      </w:r>
      <w:r>
        <w:rPr>
          <w:u w:val="single"/>
          <w:lang w:val="en-US" w:eastAsia="zh-CN"/>
        </w:rPr>
        <w:t>10</w:t>
      </w:r>
      <w:r>
        <w:rPr>
          <w:rFonts w:hint="eastAsia"/>
          <w:u w:val="single"/>
        </w:rPr>
        <w:t>日起至2025年</w:t>
      </w:r>
      <w:r>
        <w:rPr>
          <w:rFonts w:hint="eastAsia"/>
          <w:u w:val="single"/>
          <w:lang w:val="en-US" w:eastAsia="zh-CN"/>
        </w:rPr>
        <w:t>10</w:t>
      </w:r>
      <w:r>
        <w:rPr>
          <w:rFonts w:hint="eastAsia"/>
          <w:u w:val="single"/>
        </w:rPr>
        <w:t>月</w:t>
      </w:r>
      <w:r>
        <w:rPr>
          <w:rFonts w:hint="eastAsia"/>
          <w:u w:val="single"/>
          <w:lang w:val="en-US" w:eastAsia="zh-CN"/>
        </w:rPr>
        <w:t>1</w:t>
      </w:r>
      <w:r>
        <w:rPr>
          <w:u w:val="single"/>
          <w:lang w:val="en-US" w:eastAsia="zh-CN"/>
        </w:rPr>
        <w:t>7</w:t>
      </w:r>
      <w:r>
        <w:rPr>
          <w:rFonts w:hint="eastAsia"/>
          <w:u w:val="single"/>
        </w:rPr>
        <w:t>日</w:t>
      </w:r>
      <w:r>
        <w:rPr>
          <w:rFonts w:hint="eastAsia"/>
        </w:rPr>
        <w:t>，每天上午</w:t>
      </w:r>
      <w:r>
        <w:rPr>
          <w:rFonts w:hint="eastAsia"/>
          <w:u w:val="single"/>
        </w:rPr>
        <w:t>0</w:t>
      </w:r>
      <w:r>
        <w:rPr>
          <w:rFonts w:hint="eastAsia"/>
          <w:u w:val="single"/>
          <w:lang w:val="en-US" w:eastAsia="zh-CN"/>
        </w:rPr>
        <w:t>9</w:t>
      </w:r>
      <w:r>
        <w:rPr>
          <w:rFonts w:hint="eastAsia"/>
          <w:u w:val="single"/>
        </w:rPr>
        <w:t>时</w:t>
      </w:r>
      <w:r>
        <w:rPr>
          <w:rFonts w:hint="eastAsia"/>
          <w:u w:val="single"/>
          <w:lang w:val="en-US" w:eastAsia="zh-CN"/>
        </w:rPr>
        <w:t>00</w:t>
      </w:r>
      <w:r>
        <w:rPr>
          <w:rFonts w:hint="eastAsia"/>
          <w:u w:val="single"/>
        </w:rPr>
        <w:t>分至</w:t>
      </w:r>
      <w:r>
        <w:rPr>
          <w:u w:val="single"/>
        </w:rPr>
        <w:t>12</w:t>
      </w:r>
      <w:r>
        <w:rPr>
          <w:rFonts w:hint="eastAsia"/>
          <w:u w:val="single"/>
        </w:rPr>
        <w:t>时0</w:t>
      </w:r>
      <w:r>
        <w:rPr>
          <w:u w:val="single"/>
        </w:rPr>
        <w:t>0</w:t>
      </w:r>
      <w:r>
        <w:rPr>
          <w:rFonts w:hint="eastAsia"/>
          <w:u w:val="single"/>
        </w:rPr>
        <w:t>分，下午</w:t>
      </w:r>
      <w:r>
        <w:rPr>
          <w:rFonts w:hint="eastAsia"/>
          <w:u w:val="single"/>
          <w:lang w:val="en-US" w:eastAsia="zh-CN"/>
        </w:rPr>
        <w:t>15</w:t>
      </w:r>
      <w:r>
        <w:rPr>
          <w:rFonts w:hint="eastAsia"/>
          <w:u w:val="single"/>
        </w:rPr>
        <w:t>时</w:t>
      </w:r>
      <w:r>
        <w:rPr>
          <w:rFonts w:hint="eastAsia"/>
          <w:u w:val="single"/>
          <w:lang w:val="en-US" w:eastAsia="zh-CN"/>
        </w:rPr>
        <w:t>00</w:t>
      </w:r>
      <w:r>
        <w:rPr>
          <w:rFonts w:hint="eastAsia"/>
          <w:u w:val="single"/>
        </w:rPr>
        <w:t>分至17时30分</w:t>
      </w:r>
      <w:r>
        <w:rPr>
          <w:rFonts w:hint="eastAsia"/>
        </w:rPr>
        <w:t>（北京时间，法定节假日除外）。</w:t>
      </w:r>
    </w:p>
    <w:p>
      <w:pPr>
        <w:spacing w:line="312" w:lineRule="auto"/>
        <w:ind w:firstLineChars="200" w:firstLine="420"/>
        <w:jc w:val="left"/>
        <w:rPr>
          <w:rFonts w:ascii="Times New Roman" w:eastAsia="宋体" w:cs="Times New Roman" w:hAnsi="Times New Roman" w:hint="eastAsia"/>
          <w:kern w:val="0"/>
          <w:szCs w:val="21"/>
        </w:rPr>
      </w:pPr>
      <w:r>
        <w:rPr>
          <w:rFonts w:ascii="Times New Roman" w:eastAsia="宋体" w:cs="Times New Roman" w:hAnsi="Times New Roman" w:hint="eastAsia"/>
          <w:kern w:val="0"/>
          <w:szCs w:val="21"/>
        </w:rPr>
        <w:t>地点：</w:t>
      </w:r>
      <w:r>
        <w:rPr>
          <w:rFonts w:ascii="Times New Roman" w:eastAsia="宋体" w:cs="Times New Roman" w:hAnsi="Times New Roman" w:hint="eastAsia"/>
          <w:kern w:val="0"/>
          <w:szCs w:val="21"/>
          <w:lang w:eastAsia="zh-CN"/>
        </w:rPr>
        <w:t>中国（广西）自由贸易试验区南宁片区庆歌路20号富雅•国际商务大厦B栋十三层1301广西桂工建设管理咨询有限公司（</w:t>
      </w:r>
      <w:r>
        <w:rPr>
          <w:rFonts w:ascii="Times New Roman" w:eastAsia="宋体" w:cs="Times New Roman" w:hAnsi="Times New Roman" w:hint="eastAsia"/>
          <w:kern w:val="0"/>
          <w:szCs w:val="21"/>
          <w:lang w:val="en-US" w:eastAsia="zh-CN"/>
        </w:rPr>
        <w:t>网上获取：</w:t>
      </w:r>
      <w:r>
        <w:rPr>
          <w:rFonts w:ascii="Times New Roman" w:eastAsia="宋体" w:cs="Times New Roman" w:hAnsi="Times New Roman" w:hint="eastAsia"/>
          <w:kern w:val="0"/>
          <w:szCs w:val="21"/>
          <w:lang w:val="en-US" w:eastAsia="zh-CN"/>
        </w:rPr>
        <w:fldChar w:fldCharType="begin"/>
      </w:r>
      <w:r>
        <w:instrText>HYPERLINK "mailto:402426364@qq.com"</w:instrText>
      </w:r>
      <w:r>
        <w:rPr>
          <w:rFonts w:ascii="Times New Roman" w:eastAsia="宋体" w:cs="Times New Roman" w:hAnsi="Times New Roman" w:hint="eastAsia"/>
          <w:kern w:val="0"/>
          <w:szCs w:val="21"/>
          <w:lang w:val="en-US" w:eastAsia="zh-CN"/>
        </w:rPr>
        <w:fldChar w:fldCharType="separate"/>
      </w:r>
      <w:r>
        <w:rPr>
          <w:rFonts w:ascii="Times New Roman" w:eastAsia="宋体" w:cs="Times New Roman" w:hAnsi="Times New Roman" w:hint="eastAsia"/>
          <w:kern w:val="0"/>
          <w:szCs w:val="21"/>
          <w:lang w:val="en-US" w:eastAsia="zh-CN"/>
        </w:rPr>
        <w:t>gxggjl@163.com</w:t>
      </w:r>
      <w:r>
        <w:rPr>
          <w:rFonts w:ascii="Times New Roman" w:eastAsia="宋体" w:cs="Times New Roman" w:hAnsi="Times New Roman" w:hint="eastAsia"/>
          <w:kern w:val="0"/>
          <w:szCs w:val="21"/>
          <w:lang w:val="en-US" w:eastAsia="zh-CN"/>
        </w:rPr>
        <w:fldChar w:fldCharType="end"/>
      </w:r>
      <w:r>
        <w:rPr>
          <w:rFonts w:ascii="Times New Roman" w:eastAsia="宋体" w:cs="Times New Roman" w:hAnsi="Times New Roman" w:hint="eastAsia"/>
          <w:kern w:val="0"/>
          <w:szCs w:val="21"/>
          <w:lang w:eastAsia="zh-CN"/>
        </w:rPr>
        <w:t>）</w:t>
      </w:r>
      <w:r>
        <w:rPr>
          <w:rFonts w:ascii="Times New Roman" w:eastAsia="宋体" w:cs="Times New Roman" w:hAnsi="Times New Roman" w:hint="eastAsia"/>
          <w:kern w:val="0"/>
          <w:szCs w:val="21"/>
        </w:rPr>
        <w:t>。</w:t>
      </w:r>
    </w:p>
    <w:p>
      <w:pPr>
        <w:spacing w:line="312" w:lineRule="auto"/>
        <w:ind w:firstLineChars="200" w:firstLine="420"/>
        <w:jc w:val="left"/>
        <w:rPr>
          <w:rFonts w:ascii="Times New Roman" w:eastAsia="宋体" w:cs="Times New Roman" w:hAnsi="Times New Roman" w:hint="eastAsia"/>
          <w:kern w:val="0"/>
          <w:szCs w:val="21"/>
        </w:rPr>
      </w:pPr>
      <w:r>
        <w:rPr>
          <w:rFonts w:ascii="Times New Roman" w:eastAsia="宋体" w:cs="Times New Roman" w:hAnsi="Times New Roman" w:hint="eastAsia"/>
          <w:kern w:val="0"/>
          <w:szCs w:val="21"/>
        </w:rPr>
        <w:t>方式：网上获取，供应商将有效的营业执照副本复印件、有效的资质证书复印件、法定代表人身份证复印件、委托代理人身份证复印件（如有委托须提供）、法定代表人授权委托书原件并加盖竞标人公章（如有委托须提供）的相关资料扫描件，在竞争性</w:t>
      </w:r>
      <w:r>
        <w:rPr>
          <w:rFonts w:ascii="Times New Roman" w:eastAsia="宋体" w:cs="Times New Roman" w:hAnsi="Times New Roman"/>
          <w:kern w:val="0"/>
          <w:szCs w:val="21"/>
          <w:lang w:eastAsia="zh-CN"/>
        </w:rPr>
        <w:t>磋商</w:t>
      </w:r>
      <w:r>
        <w:rPr>
          <w:rFonts w:ascii="Times New Roman" w:eastAsia="宋体" w:cs="Times New Roman" w:hAnsi="Times New Roman" w:hint="eastAsia"/>
          <w:kern w:val="0"/>
          <w:szCs w:val="21"/>
        </w:rPr>
        <w:t>文件获取时间内发送至指定邮箱：</w:t>
      </w:r>
      <w:r>
        <w:rPr>
          <w:rFonts w:ascii="Times New Roman" w:eastAsia="宋体" w:cs="Times New Roman" w:hAnsi="Times New Roman" w:hint="eastAsia"/>
          <w:kern w:val="0"/>
          <w:szCs w:val="21"/>
          <w:lang w:eastAsia="zh-CN"/>
        </w:rPr>
        <w:t>gxggjl@163.com</w:t>
      </w:r>
      <w:r>
        <w:rPr>
          <w:rFonts w:ascii="Times New Roman" w:eastAsia="宋体" w:cs="Times New Roman" w:hAnsi="Times New Roman" w:hint="eastAsia"/>
          <w:kern w:val="0"/>
          <w:szCs w:val="21"/>
        </w:rPr>
        <w:t>，电子邮件内请注明项目名称、项目编号</w:t>
      </w:r>
      <w:r>
        <w:rPr>
          <w:rFonts w:ascii="Times New Roman" w:eastAsia="宋体" w:cs="Times New Roman" w:hAnsi="Times New Roman" w:hint="eastAsia"/>
          <w:kern w:val="0"/>
          <w:szCs w:val="21"/>
          <w:lang w:eastAsia="zh-CN"/>
        </w:rPr>
        <w:t>（</w:t>
      </w:r>
      <w:r>
        <w:rPr>
          <w:rFonts w:ascii="Times New Roman" w:eastAsia="宋体" w:cs="Times New Roman" w:hAnsi="Times New Roman" w:hint="eastAsia"/>
          <w:kern w:val="0"/>
          <w:szCs w:val="21"/>
          <w:lang w:val="en-US" w:eastAsia="zh-CN"/>
        </w:rPr>
        <w:t>分标号</w:t>
      </w:r>
      <w:r>
        <w:rPr>
          <w:rFonts w:ascii="Times New Roman" w:eastAsia="宋体" w:cs="Times New Roman" w:hAnsi="Times New Roman" w:hint="eastAsia"/>
          <w:kern w:val="0"/>
          <w:szCs w:val="21"/>
          <w:lang w:eastAsia="zh-CN"/>
        </w:rPr>
        <w:t>）</w:t>
      </w:r>
      <w:r>
        <w:rPr>
          <w:rFonts w:ascii="Times New Roman" w:eastAsia="宋体" w:cs="Times New Roman" w:hAnsi="Times New Roman" w:hint="eastAsia"/>
          <w:kern w:val="0"/>
          <w:szCs w:val="21"/>
        </w:rPr>
        <w:t>、竞标人名称及相关信息，以及竞标人的联系人姓名、电话、地址、电子邮箱、开票信息等；网上获取竞争性</w:t>
      </w:r>
      <w:r>
        <w:rPr>
          <w:rFonts w:ascii="Times New Roman" w:eastAsia="宋体" w:cs="Times New Roman" w:hAnsi="Times New Roman"/>
          <w:kern w:val="0"/>
          <w:szCs w:val="21"/>
          <w:lang w:eastAsia="zh-CN"/>
        </w:rPr>
        <w:t>磋商</w:t>
      </w:r>
      <w:r>
        <w:rPr>
          <w:rFonts w:ascii="Times New Roman" w:eastAsia="宋体" w:cs="Times New Roman" w:hAnsi="Times New Roman" w:hint="eastAsia"/>
          <w:kern w:val="0"/>
          <w:szCs w:val="21"/>
        </w:rPr>
        <w:t>文件联系人：</w:t>
      </w:r>
      <w:r>
        <w:rPr>
          <w:rFonts w:ascii="Times New Roman" w:eastAsia="宋体" w:cs="Times New Roman" w:hAnsi="Times New Roman" w:hint="eastAsia"/>
          <w:kern w:val="0"/>
          <w:szCs w:val="21"/>
          <w:lang w:val="en-US" w:eastAsia="zh-CN"/>
        </w:rPr>
        <w:t>黄工</w:t>
      </w:r>
      <w:r>
        <w:rPr>
          <w:rFonts w:ascii="Times New Roman" w:eastAsia="宋体" w:cs="Times New Roman" w:hAnsi="Times New Roman" w:hint="eastAsia"/>
          <w:kern w:val="0"/>
          <w:szCs w:val="21"/>
        </w:rPr>
        <w:t>，联系电话：</w:t>
      </w:r>
      <w:r>
        <w:rPr>
          <w:rFonts w:ascii="Times New Roman" w:eastAsia="宋体" w:cs="Times New Roman" w:hAnsi="Times New Roman" w:hint="eastAsia"/>
          <w:kern w:val="0"/>
          <w:szCs w:val="21"/>
          <w:lang w:eastAsia="zh-CN"/>
        </w:rPr>
        <w:t>0771-5533898</w:t>
      </w:r>
      <w:r>
        <w:rPr>
          <w:rFonts w:ascii="Times New Roman" w:eastAsia="宋体" w:cs="Times New Roman" w:hAnsi="Times New Roman" w:hint="eastAsia"/>
          <w:kern w:val="0"/>
          <w:szCs w:val="21"/>
        </w:rPr>
        <w:t>。</w:t>
      </w:r>
    </w:p>
    <w:p>
      <w:pPr>
        <w:spacing w:line="312" w:lineRule="auto"/>
        <w:ind w:firstLineChars="200" w:firstLine="420"/>
        <w:jc w:val="left"/>
        <w:rPr>
          <w:rFonts w:eastAsia="宋体"/>
          <w:lang w:val="en-US" w:eastAsia="zh-CN"/>
        </w:rPr>
      </w:pPr>
      <w:r>
        <w:rPr>
          <w:rFonts w:hint="eastAsia"/>
        </w:rPr>
        <w:t>售价（元）：</w:t>
      </w:r>
      <w:r>
        <w:rPr>
          <w:rFonts w:hint="eastAsia"/>
          <w:lang w:val="en-US" w:eastAsia="zh-CN"/>
        </w:rPr>
        <w:t>0元</w:t>
      </w:r>
    </w:p>
    <w:p>
      <w:pPr>
        <w:spacing w:line="312" w:lineRule="auto"/>
        <w:ind w:firstLineChars="200" w:firstLine="440"/>
        <w:jc w:val="left"/>
        <w:rPr>
          <w:b/>
          <w:bCs/>
          <w:kern w:val="0"/>
          <w:sz w:val="22"/>
          <w:szCs w:val="22"/>
        </w:rPr>
      </w:pPr>
      <w:r>
        <w:rPr>
          <w:rFonts w:hint="eastAsia"/>
          <w:b/>
          <w:bCs/>
          <w:kern w:val="0"/>
          <w:sz w:val="22"/>
          <w:szCs w:val="22"/>
        </w:rPr>
        <w:t>四、响应文件提交</w:t>
      </w:r>
    </w:p>
    <w:p>
      <w:pPr>
        <w:spacing w:line="312" w:lineRule="auto"/>
        <w:ind w:firstLineChars="200" w:firstLine="420"/>
        <w:jc w:val="left"/>
        <w:rPr>
          <w:kern w:val="0"/>
          <w:szCs w:val="21"/>
        </w:rPr>
      </w:pPr>
      <w:r>
        <w:rPr>
          <w:rFonts w:hint="eastAsia"/>
          <w:kern w:val="0"/>
          <w:szCs w:val="21"/>
        </w:rPr>
        <w:t>截止时间：</w:t>
      </w:r>
      <w:r>
        <w:rPr>
          <w:kern w:val="0"/>
          <w:szCs w:val="21"/>
          <w:u w:val="single"/>
        </w:rPr>
        <w:t>20</w:t>
      </w:r>
      <w:r>
        <w:rPr>
          <w:rFonts w:hint="eastAsia"/>
          <w:kern w:val="0"/>
          <w:szCs w:val="21"/>
          <w:u w:val="single"/>
        </w:rPr>
        <w:t>25</w:t>
      </w:r>
      <w:r>
        <w:rPr>
          <w:kern w:val="0"/>
          <w:szCs w:val="21"/>
          <w:u w:val="single"/>
        </w:rPr>
        <w:t>年</w:t>
      </w:r>
      <w:r>
        <w:rPr>
          <w:rFonts w:hint="eastAsia"/>
          <w:kern w:val="0"/>
          <w:szCs w:val="21"/>
          <w:u w:val="single"/>
        </w:rPr>
        <w:t>10</w:t>
      </w:r>
      <w:r>
        <w:rPr>
          <w:kern w:val="0"/>
          <w:szCs w:val="21"/>
          <w:u w:val="single"/>
        </w:rPr>
        <w:t>月</w:t>
      </w:r>
      <w:bookmarkStart w:id="15" w:name="_Hlk155690357"/>
      <w:r>
        <w:rPr>
          <w:rFonts w:hint="eastAsia"/>
          <w:kern w:val="0"/>
          <w:szCs w:val="21"/>
          <w:u w:val="single"/>
          <w:lang w:val="en-US" w:eastAsia="zh-CN"/>
        </w:rPr>
        <w:t>2</w:t>
      </w:r>
      <w:r>
        <w:rPr>
          <w:kern w:val="0"/>
          <w:szCs w:val="21"/>
          <w:u w:val="single"/>
          <w:lang w:val="en-US" w:eastAsia="zh-CN"/>
        </w:rPr>
        <w:t>1</w:t>
      </w:r>
      <w:r>
        <w:rPr>
          <w:rFonts w:hint="eastAsia"/>
          <w:kern w:val="0"/>
          <w:szCs w:val="21"/>
          <w:u w:val="single"/>
        </w:rPr>
        <w:t>日</w:t>
      </w:r>
      <w:bookmarkEnd w:id="15"/>
      <w:r>
        <w:rPr>
          <w:kern w:val="0"/>
          <w:szCs w:val="21"/>
          <w:u w:val="single"/>
        </w:rPr>
        <w:t>15</w:t>
      </w:r>
      <w:r>
        <w:rPr>
          <w:rFonts w:hint="eastAsia"/>
          <w:kern w:val="0"/>
          <w:szCs w:val="21"/>
          <w:u w:val="single"/>
        </w:rPr>
        <w:t>点30分</w:t>
      </w:r>
      <w:r>
        <w:rPr>
          <w:rFonts w:hint="eastAsia"/>
          <w:kern w:val="0"/>
          <w:szCs w:val="21"/>
        </w:rPr>
        <w:t>（北京时间）</w:t>
      </w:r>
    </w:p>
    <w:p>
      <w:pPr>
        <w:spacing w:line="312" w:lineRule="auto"/>
        <w:ind w:firstLineChars="200" w:firstLine="420"/>
        <w:jc w:val="left"/>
        <w:rPr>
          <w:szCs w:val="21"/>
        </w:rPr>
      </w:pPr>
      <w:r>
        <w:rPr>
          <w:rFonts w:hint="eastAsia"/>
          <w:kern w:val="0"/>
          <w:szCs w:val="21"/>
        </w:rPr>
        <w:t>地点：</w:t>
      </w:r>
      <w:r>
        <w:rPr>
          <w:rFonts w:ascii="宋体" w:cs="宋体" w:hint="eastAsia"/>
          <w:bCs/>
          <w:color w:val="auto"/>
          <w:szCs w:val="21"/>
          <w:lang w:eastAsia="zh-CN"/>
          <w:highlight w:val="auto"/>
        </w:rPr>
        <w:t>中国（广西）自由贸易试验区南宁片区庆歌路20号富雅•国际商务大厦B栋十三层1301广西桂工建设管理咨询有限公司</w:t>
      </w:r>
      <w:r>
        <w:rPr>
          <w:rFonts w:ascii="宋体" w:cs="宋体" w:hint="eastAsia"/>
          <w:bCs/>
          <w:color w:val="auto"/>
          <w:szCs w:val="21"/>
          <w:highlight w:val="auto"/>
        </w:rPr>
        <w:t>开标厅</w:t>
      </w:r>
      <w:r>
        <w:rPr>
          <w:rFonts w:ascii="宋体" w:cs="宋体" w:hint="eastAsia"/>
          <w:color w:val="auto"/>
          <w:szCs w:val="21"/>
          <w:highlight w:val="auto"/>
        </w:rPr>
        <w:t>。</w:t>
      </w:r>
    </w:p>
    <w:p>
      <w:pPr>
        <w:spacing w:line="312" w:lineRule="auto"/>
        <w:ind w:firstLineChars="200" w:firstLine="420"/>
        <w:jc w:val="left"/>
        <w:rPr>
          <w:kern w:val="0"/>
          <w:szCs w:val="21"/>
        </w:rPr>
      </w:pPr>
      <w:r>
        <w:rPr>
          <w:rFonts w:hint="eastAsia"/>
          <w:kern w:val="0"/>
          <w:szCs w:val="21"/>
        </w:rPr>
        <w:t>响应文件递交方式：现场递交纸质响应文件，具体要求详见供应商须知前附表。</w:t>
      </w:r>
    </w:p>
    <w:p>
      <w:pPr>
        <w:spacing w:line="312" w:lineRule="auto"/>
        <w:ind w:firstLineChars="200" w:firstLine="440"/>
        <w:jc w:val="left"/>
        <w:rPr>
          <w:b/>
          <w:bCs/>
          <w:kern w:val="0"/>
          <w:sz w:val="22"/>
          <w:szCs w:val="22"/>
        </w:rPr>
      </w:pPr>
      <w:r>
        <w:rPr>
          <w:rFonts w:hint="eastAsia"/>
          <w:b/>
          <w:bCs/>
          <w:kern w:val="0"/>
          <w:sz w:val="22"/>
          <w:szCs w:val="22"/>
        </w:rPr>
        <w:t>五、开启</w:t>
      </w:r>
    </w:p>
    <w:p>
      <w:pPr>
        <w:spacing w:line="312" w:lineRule="auto"/>
        <w:ind w:firstLineChars="200" w:firstLine="440"/>
        <w:jc w:val="left"/>
        <w:rPr>
          <w:kern w:val="0"/>
          <w:szCs w:val="21"/>
        </w:rPr>
      </w:pPr>
      <w:r>
        <w:rPr>
          <w:rFonts w:hint="eastAsia"/>
          <w:b/>
          <w:bCs/>
          <w:kern w:val="0"/>
          <w:sz w:val="22"/>
          <w:szCs w:val="22"/>
        </w:rPr>
        <w:t>开启时间：</w:t>
      </w:r>
      <w:r>
        <w:rPr>
          <w:kern w:val="0"/>
          <w:szCs w:val="21"/>
          <w:u w:val="none"/>
        </w:rPr>
        <w:t>20</w:t>
      </w:r>
      <w:r>
        <w:rPr>
          <w:rFonts w:hint="eastAsia"/>
          <w:kern w:val="0"/>
          <w:szCs w:val="21"/>
          <w:u w:val="none"/>
        </w:rPr>
        <w:t>25</w:t>
      </w:r>
      <w:r>
        <w:rPr>
          <w:kern w:val="0"/>
          <w:szCs w:val="21"/>
          <w:u w:val="none"/>
        </w:rPr>
        <w:t>年</w:t>
      </w:r>
      <w:r>
        <w:rPr>
          <w:rFonts w:hint="eastAsia"/>
          <w:kern w:val="0"/>
          <w:szCs w:val="21"/>
          <w:u w:val="none"/>
        </w:rPr>
        <w:t>10</w:t>
      </w:r>
      <w:r>
        <w:rPr>
          <w:kern w:val="0"/>
          <w:szCs w:val="21"/>
          <w:u w:val="none"/>
        </w:rPr>
        <w:t>月</w:t>
      </w:r>
      <w:r>
        <w:rPr>
          <w:rFonts w:hint="eastAsia"/>
          <w:kern w:val="0"/>
          <w:szCs w:val="21"/>
          <w:u w:val="none"/>
          <w:lang w:val="en-US" w:eastAsia="zh-CN"/>
        </w:rPr>
        <w:t>2</w:t>
      </w:r>
      <w:r>
        <w:rPr>
          <w:kern w:val="0"/>
          <w:szCs w:val="21"/>
          <w:u w:val="none"/>
          <w:lang w:val="en-US" w:eastAsia="zh-CN"/>
        </w:rPr>
        <w:t>1</w:t>
      </w:r>
      <w:r>
        <w:rPr>
          <w:rFonts w:hint="eastAsia"/>
          <w:kern w:val="0"/>
          <w:szCs w:val="21"/>
          <w:u w:val="none"/>
        </w:rPr>
        <w:t>日</w:t>
      </w:r>
      <w:r>
        <w:rPr>
          <w:kern w:val="0"/>
          <w:szCs w:val="21"/>
          <w:u w:val="none"/>
        </w:rPr>
        <w:t>15</w:t>
      </w:r>
      <w:r>
        <w:rPr>
          <w:rFonts w:hint="eastAsia"/>
          <w:kern w:val="0"/>
          <w:szCs w:val="21"/>
          <w:u w:val="none"/>
        </w:rPr>
        <w:t>点30分（北京时间）</w:t>
      </w:r>
      <w:r>
        <w:rPr>
          <w:rFonts w:ascii="宋体" w:cs="宋体" w:hint="eastAsia"/>
          <w:color w:val="auto"/>
          <w:szCs w:val="21"/>
          <w:highlight w:val="auto"/>
        </w:rPr>
        <w:t>后</w:t>
      </w:r>
    </w:p>
    <w:p>
      <w:pPr>
        <w:spacing w:line="312" w:lineRule="auto"/>
        <w:ind w:firstLineChars="200" w:firstLine="440"/>
        <w:jc w:val="left"/>
        <w:rPr>
          <w:b/>
          <w:bCs/>
          <w:kern w:val="0"/>
          <w:sz w:val="22"/>
          <w:szCs w:val="22"/>
        </w:rPr>
      </w:pPr>
      <w:r>
        <w:rPr>
          <w:rFonts w:hint="eastAsia"/>
          <w:b/>
          <w:bCs/>
          <w:kern w:val="0"/>
          <w:sz w:val="22"/>
          <w:szCs w:val="22"/>
        </w:rPr>
        <w:t>地点：中国（广西）自由贸易试验区南宁片区庆歌路20号富雅•国际商务大厦B栋十三层1301广西桂工建设管理咨询有限公司</w:t>
      </w:r>
      <w:r>
        <w:rPr>
          <w:rFonts w:hint="eastAsia"/>
          <w:szCs w:val="21"/>
        </w:rPr>
        <w:t>。</w:t>
      </w:r>
    </w:p>
    <w:p>
      <w:pPr>
        <w:spacing w:line="312" w:lineRule="auto"/>
        <w:ind w:firstLineChars="200" w:firstLine="440"/>
        <w:jc w:val="left"/>
        <w:rPr>
          <w:b/>
          <w:bCs/>
          <w:kern w:val="0"/>
          <w:sz w:val="22"/>
          <w:szCs w:val="22"/>
        </w:rPr>
      </w:pPr>
      <w:r>
        <w:rPr>
          <w:rFonts w:hint="eastAsia"/>
          <w:b/>
          <w:bCs/>
          <w:kern w:val="0"/>
          <w:sz w:val="22"/>
          <w:szCs w:val="22"/>
        </w:rPr>
        <w:t>六、公告期限</w:t>
      </w:r>
    </w:p>
    <w:p>
      <w:pPr>
        <w:spacing w:line="312" w:lineRule="auto"/>
        <w:ind w:firstLineChars="200" w:firstLine="420"/>
        <w:jc w:val="left"/>
        <w:rPr>
          <w:kern w:val="0"/>
          <w:szCs w:val="21"/>
        </w:rPr>
      </w:pPr>
      <w:r>
        <w:rPr>
          <w:rFonts w:hint="eastAsia"/>
          <w:kern w:val="0"/>
          <w:szCs w:val="21"/>
        </w:rPr>
        <w:t>自本公告发布之日起5个工作日。</w:t>
      </w:r>
    </w:p>
    <w:p>
      <w:pPr>
        <w:spacing w:line="312" w:lineRule="auto"/>
        <w:ind w:firstLineChars="200" w:firstLine="440"/>
        <w:jc w:val="left"/>
        <w:rPr>
          <w:b/>
          <w:bCs/>
          <w:kern w:val="0"/>
          <w:sz w:val="22"/>
          <w:szCs w:val="22"/>
        </w:rPr>
      </w:pPr>
      <w:r>
        <w:rPr>
          <w:rFonts w:hint="eastAsia"/>
          <w:b/>
          <w:bCs/>
          <w:kern w:val="0"/>
          <w:sz w:val="22"/>
          <w:szCs w:val="22"/>
        </w:rPr>
        <w:t>七、其他补充事宜</w:t>
      </w:r>
    </w:p>
    <w:p>
      <w:pPr>
        <w:spacing w:line="312" w:lineRule="auto"/>
        <w:ind w:firstLineChars="200" w:firstLine="420"/>
        <w:jc w:val="left"/>
        <w:rPr>
          <w:rFonts w:eastAsia="宋体" w:hint="eastAsia"/>
          <w:kern w:val="0"/>
          <w:szCs w:val="21"/>
          <w:lang w:eastAsia="zh-CN"/>
        </w:rPr>
      </w:pPr>
      <w:r>
        <w:rPr>
          <w:rFonts w:hint="eastAsia"/>
          <w:kern w:val="0"/>
          <w:szCs w:val="21"/>
        </w:rPr>
        <w:t>1</w:t>
      </w:r>
      <w:r>
        <w:rPr>
          <w:kern w:val="0"/>
          <w:szCs w:val="21"/>
        </w:rPr>
        <w:t>.</w:t>
      </w:r>
      <w:r>
        <w:rPr>
          <w:rFonts w:hint="eastAsia"/>
          <w:kern w:val="0"/>
          <w:szCs w:val="21"/>
        </w:rPr>
        <w:t>公告发布媒体：中国政府采购网、</w:t>
      </w:r>
      <w:r>
        <w:rPr>
          <w:rFonts w:ascii="Times New Roman" w:eastAsia="宋体" w:cs="Times New Roman" w:hAnsi="Times New Roman" w:hint="eastAsia"/>
          <w:color w:val="auto"/>
          <w:kern w:val="0"/>
          <w:szCs w:val="21"/>
          <w:lang w:val="en-US" w:eastAsia="zh-CN"/>
          <w:highlight w:val="auto"/>
        </w:rPr>
        <w:t>广西桂工建设管理咨询有限公司官网</w:t>
      </w:r>
      <w:r>
        <w:rPr>
          <w:rFonts w:hint="eastAsia"/>
          <w:kern w:val="0"/>
          <w:szCs w:val="21"/>
        </w:rPr>
        <w:t>、中华人民共和国南宁海关网站</w:t>
      </w:r>
      <w:r>
        <w:rPr>
          <w:rFonts w:hint="eastAsia"/>
          <w:kern w:val="0"/>
          <w:szCs w:val="21"/>
          <w:lang w:eastAsia="zh-CN"/>
        </w:rPr>
        <w:t>。</w:t>
      </w:r>
    </w:p>
    <w:p>
      <w:pPr>
        <w:spacing w:line="312" w:lineRule="auto"/>
        <w:ind w:firstLineChars="200" w:firstLine="420"/>
        <w:jc w:val="left"/>
        <w:rPr>
          <w:kern w:val="0"/>
          <w:szCs w:val="21"/>
        </w:rPr>
      </w:pPr>
      <w:r>
        <w:rPr>
          <w:rFonts w:hint="eastAsia"/>
          <w:kern w:val="0"/>
          <w:szCs w:val="21"/>
        </w:rPr>
        <w:t>2</w:t>
      </w:r>
      <w:r>
        <w:rPr>
          <w:kern w:val="0"/>
          <w:szCs w:val="21"/>
        </w:rPr>
        <w:t>.</w:t>
      </w:r>
      <w:r>
        <w:rPr>
          <w:rFonts w:hint="eastAsia"/>
          <w:kern w:val="0"/>
          <w:szCs w:val="21"/>
        </w:rPr>
        <w:t>需落实的政府采购政策：</w:t>
      </w:r>
      <w:r>
        <w:rPr>
          <w:kern w:val="0"/>
          <w:szCs w:val="21"/>
        </w:rPr>
        <w:t>本项目适用政府采购促进中小企业、监狱企业发展、促进残疾人就业、节能环保等有关政策，具体详见</w:t>
      </w:r>
      <w:r>
        <w:rPr>
          <w:rFonts w:hint="eastAsia"/>
        </w:rPr>
        <w:t>采购</w:t>
      </w:r>
      <w:r>
        <w:rPr>
          <w:kern w:val="0"/>
          <w:szCs w:val="21"/>
        </w:rPr>
        <w:t>文件。</w:t>
      </w:r>
    </w:p>
    <w:p>
      <w:pPr>
        <w:spacing w:line="312" w:lineRule="auto"/>
        <w:ind w:firstLineChars="200" w:firstLine="420"/>
        <w:jc w:val="left"/>
        <w:rPr>
          <w:kern w:val="0"/>
          <w:szCs w:val="21"/>
        </w:rPr>
      </w:pPr>
      <w:r>
        <w:rPr>
          <w:kern w:val="0"/>
          <w:szCs w:val="21"/>
        </w:rPr>
        <w:t>3</w:t>
      </w:r>
      <w:r>
        <w:rPr>
          <w:rFonts w:hint="eastAsia"/>
          <w:kern w:val="0"/>
          <w:szCs w:val="21"/>
        </w:rPr>
        <w:t>.本项目供应商的产生方式：</w:t>
      </w:r>
      <w:r>
        <w:t>发布</w:t>
      </w:r>
      <w:r>
        <w:rPr>
          <w:rFonts w:hint="eastAsia"/>
        </w:rPr>
        <w:t>公告征集。</w:t>
      </w:r>
    </w:p>
    <w:p>
      <w:pPr>
        <w:spacing w:line="276" w:lineRule="auto"/>
        <w:ind w:firstLineChars="200" w:firstLine="440"/>
        <w:rPr>
          <w:b/>
          <w:bCs/>
          <w:kern w:val="0"/>
          <w:sz w:val="22"/>
          <w:szCs w:val="22"/>
        </w:rPr>
      </w:pPr>
      <w:r>
        <w:rPr>
          <w:rFonts w:hint="eastAsia"/>
          <w:b/>
          <w:bCs/>
          <w:kern w:val="0"/>
          <w:sz w:val="22"/>
          <w:szCs w:val="22"/>
        </w:rPr>
        <w:t>八、对本次采购提出询问，请按以下方式联系</w:t>
      </w:r>
    </w:p>
    <w:p>
      <w:pPr>
        <w:spacing w:line="312" w:lineRule="auto"/>
        <w:ind w:firstLineChars="200" w:firstLine="420"/>
        <w:jc w:val="left"/>
        <w:rPr>
          <w:kern w:val="0"/>
          <w:szCs w:val="21"/>
        </w:rPr>
      </w:pPr>
      <w:r>
        <w:rPr>
          <w:rFonts w:hint="eastAsia"/>
          <w:kern w:val="0"/>
          <w:szCs w:val="21"/>
        </w:rPr>
        <w:t>1</w:t>
      </w:r>
      <w:r>
        <w:rPr>
          <w:kern w:val="0"/>
          <w:szCs w:val="21"/>
        </w:rPr>
        <w:t>.</w:t>
      </w:r>
      <w:r>
        <w:rPr>
          <w:rFonts w:hint="eastAsia"/>
          <w:kern w:val="0"/>
          <w:szCs w:val="21"/>
        </w:rPr>
        <w:t>采购人信息</w:t>
      </w:r>
    </w:p>
    <w:p>
      <w:pPr>
        <w:spacing w:line="312" w:lineRule="auto"/>
        <w:ind w:firstLineChars="200" w:firstLine="420"/>
        <w:jc w:val="left"/>
        <w:rPr>
          <w:rFonts w:eastAsia="宋体" w:hint="eastAsia"/>
          <w:kern w:val="0"/>
          <w:szCs w:val="21"/>
          <w:u w:val="single"/>
          <w:lang w:eastAsia="zh-CN"/>
        </w:rPr>
      </w:pPr>
      <w:bookmarkStart w:id="16" w:name="_Hlk19048373"/>
      <w:r>
        <w:rPr>
          <w:rFonts w:hint="eastAsia"/>
          <w:kern w:val="0"/>
          <w:szCs w:val="21"/>
        </w:rPr>
        <w:t>名称</w:t>
      </w:r>
      <w:r>
        <w:rPr>
          <w:kern w:val="0"/>
          <w:szCs w:val="21"/>
        </w:rPr>
        <w:t>：</w:t>
      </w:r>
      <w:r>
        <w:rPr>
          <w:rFonts w:hint="eastAsia"/>
          <w:kern w:val="0"/>
          <w:szCs w:val="21"/>
          <w:u w:val="single"/>
          <w:lang w:eastAsia="zh-CN"/>
        </w:rPr>
        <w:t>中华人民共和国友谊关海关</w:t>
      </w:r>
    </w:p>
    <w:p>
      <w:pPr>
        <w:spacing w:line="312" w:lineRule="auto"/>
        <w:ind w:firstLineChars="200" w:firstLine="420"/>
        <w:jc w:val="left"/>
        <w:rPr>
          <w:kern w:val="0"/>
          <w:szCs w:val="21"/>
          <w:u w:val="single"/>
        </w:rPr>
      </w:pPr>
      <w:r>
        <w:rPr>
          <w:kern w:val="0"/>
          <w:szCs w:val="21"/>
        </w:rPr>
        <w:t>地址：</w:t>
      </w:r>
      <w:r>
        <w:rPr>
          <w:rFonts w:hint="eastAsia"/>
          <w:kern w:val="0"/>
          <w:szCs w:val="21"/>
          <w:u w:val="single"/>
        </w:rPr>
        <w:t>中华人民共和国友谊关海关</w:t>
      </w:r>
    </w:p>
    <w:p>
      <w:pPr>
        <w:spacing w:line="312" w:lineRule="auto"/>
        <w:ind w:firstLineChars="200" w:firstLine="420"/>
        <w:jc w:val="left"/>
        <w:rPr>
          <w:kern w:val="0"/>
          <w:szCs w:val="21"/>
          <w:u w:val="single"/>
        </w:rPr>
      </w:pPr>
      <w:r>
        <w:rPr>
          <w:rFonts w:hint="eastAsia"/>
          <w:kern w:val="0"/>
          <w:szCs w:val="21"/>
        </w:rPr>
        <w:t>项目联系人：</w:t>
      </w:r>
      <w:r>
        <w:rPr>
          <w:rFonts w:hint="eastAsia"/>
          <w:kern w:val="0"/>
          <w:szCs w:val="21"/>
          <w:u w:val="single"/>
        </w:rPr>
        <w:t>罗建洪</w:t>
      </w:r>
    </w:p>
    <w:p>
      <w:pPr>
        <w:spacing w:line="312" w:lineRule="auto"/>
        <w:ind w:firstLineChars="200" w:firstLine="420"/>
        <w:jc w:val="left"/>
        <w:rPr>
          <w:kern w:val="0"/>
          <w:szCs w:val="21"/>
          <w:u w:val="single"/>
        </w:rPr>
      </w:pPr>
      <w:r>
        <w:rPr>
          <w:rFonts w:hint="eastAsia"/>
          <w:kern w:val="0"/>
          <w:szCs w:val="21"/>
        </w:rPr>
        <w:t>项目联系方式：</w:t>
      </w:r>
      <w:r>
        <w:rPr>
          <w:rFonts w:hint="eastAsia"/>
          <w:kern w:val="0"/>
          <w:szCs w:val="21"/>
          <w:u w:val="single"/>
          <w:lang w:val="en-US" w:eastAsia="zh-CN"/>
        </w:rPr>
        <w:t>1</w:t>
      </w:r>
      <w:r>
        <w:rPr>
          <w:rFonts w:hint="eastAsia"/>
          <w:kern w:val="0"/>
          <w:szCs w:val="21"/>
          <w:u w:val="single"/>
        </w:rPr>
        <w:t>5723901510</w:t>
      </w:r>
    </w:p>
    <w:p>
      <w:pPr>
        <w:spacing w:line="312" w:lineRule="auto"/>
        <w:ind w:firstLineChars="200" w:firstLine="420"/>
        <w:jc w:val="left"/>
        <w:rPr>
          <w:kern w:val="0"/>
          <w:szCs w:val="21"/>
        </w:rPr>
      </w:pPr>
      <w:r>
        <w:rPr>
          <w:rFonts w:hint="eastAsia"/>
          <w:kern w:val="0"/>
          <w:szCs w:val="21"/>
        </w:rPr>
        <w:t>2</w:t>
      </w:r>
      <w:r>
        <w:rPr>
          <w:kern w:val="0"/>
          <w:szCs w:val="21"/>
        </w:rPr>
        <w:t>.</w:t>
      </w:r>
      <w:r>
        <w:rPr>
          <w:rFonts w:hint="eastAsia"/>
          <w:kern w:val="0"/>
          <w:szCs w:val="21"/>
        </w:rPr>
        <w:t>采购代理机构信息</w:t>
      </w:r>
    </w:p>
    <w:p>
      <w:pPr>
        <w:spacing w:line="312" w:lineRule="auto"/>
        <w:ind w:firstLineChars="200" w:firstLine="420"/>
        <w:jc w:val="left"/>
        <w:rPr>
          <w:rFonts w:eastAsia="宋体" w:hint="eastAsia"/>
          <w:kern w:val="0"/>
          <w:szCs w:val="21"/>
          <w:u w:val="single"/>
          <w:lang w:eastAsia="zh-CN"/>
        </w:rPr>
      </w:pPr>
      <w:r>
        <w:rPr>
          <w:rFonts w:hint="eastAsia"/>
          <w:kern w:val="0"/>
          <w:szCs w:val="21"/>
        </w:rPr>
        <w:t>名称</w:t>
      </w:r>
      <w:r>
        <w:rPr>
          <w:kern w:val="0"/>
          <w:szCs w:val="21"/>
        </w:rPr>
        <w:t>：</w:t>
      </w:r>
      <w:r>
        <w:rPr>
          <w:rFonts w:hint="eastAsia"/>
          <w:kern w:val="0"/>
          <w:szCs w:val="21"/>
          <w:u w:val="single"/>
          <w:lang w:eastAsia="zh-CN"/>
        </w:rPr>
        <w:t>广西桂工建设管理咨询有限公司</w:t>
      </w:r>
    </w:p>
    <w:p>
      <w:pPr>
        <w:spacing w:line="312" w:lineRule="auto"/>
        <w:ind w:firstLineChars="200" w:firstLine="420"/>
        <w:jc w:val="left"/>
        <w:rPr>
          <w:u w:val="single"/>
        </w:rPr>
      </w:pPr>
      <w:r>
        <w:rPr>
          <w:kern w:val="0"/>
          <w:szCs w:val="21"/>
        </w:rPr>
        <w:t>地址：</w:t>
      </w:r>
      <w:bookmarkStart w:id="17" w:name="_Hlk43199749"/>
      <w:r>
        <w:rPr>
          <w:rFonts w:hint="eastAsia"/>
          <w:kern w:val="0"/>
          <w:szCs w:val="21"/>
          <w:u w:val="single"/>
        </w:rPr>
        <w:t>中国（广西）自由贸易试验区南宁片区庆歌路20号富雅•国际商务大厦B栋十三层1301</w:t>
      </w:r>
    </w:p>
    <w:p>
      <w:pPr>
        <w:spacing w:line="312" w:lineRule="auto"/>
        <w:ind w:firstLineChars="200" w:firstLine="420"/>
        <w:jc w:val="left"/>
        <w:rPr>
          <w:kern w:val="0"/>
          <w:szCs w:val="21"/>
          <w:u w:val="single"/>
        </w:rPr>
      </w:pPr>
      <w:bookmarkStart w:id="18" w:name="_Toc254970631"/>
      <w:bookmarkStart w:id="19" w:name="_Toc254970490"/>
      <w:bookmarkEnd w:id="16"/>
      <w:bookmarkEnd w:id="17"/>
      <w:r>
        <w:rPr>
          <w:rFonts w:hint="eastAsia"/>
          <w:kern w:val="0"/>
          <w:szCs w:val="21"/>
        </w:rPr>
        <w:t>项目联系人：</w:t>
      </w:r>
      <w:r>
        <w:rPr>
          <w:rFonts w:hint="eastAsia"/>
          <w:kern w:val="0"/>
          <w:szCs w:val="21"/>
          <w:u w:val="single"/>
        </w:rPr>
        <w:t>黄开西、钟迎春、冯丽婷</w:t>
      </w:r>
    </w:p>
    <w:p>
      <w:pPr>
        <w:spacing w:line="312" w:lineRule="auto"/>
        <w:ind w:right="420" w:firstLineChars="200" w:firstLine="420"/>
        <w:rPr>
          <w:b/>
          <w:bCs/>
          <w:kern w:val="0"/>
          <w:sz w:val="22"/>
          <w:szCs w:val="22"/>
        </w:rPr>
      </w:pPr>
      <w:r>
        <w:rPr>
          <w:rFonts w:hint="eastAsia"/>
          <w:kern w:val="0"/>
          <w:szCs w:val="21"/>
        </w:rPr>
        <w:t>项目联系方式：</w:t>
      </w:r>
      <w:r>
        <w:rPr>
          <w:rFonts w:hint="eastAsia"/>
          <w:kern w:val="0"/>
          <w:szCs w:val="21"/>
          <w:u w:val="single"/>
          <w:lang w:eastAsia="zh-CN"/>
        </w:rPr>
        <w:t>0771-5533898</w:t>
      </w:r>
    </w:p>
    <w:p>
      <w:pPr>
        <w:spacing w:line="312" w:lineRule="auto"/>
        <w:ind w:firstLineChars="200" w:firstLine="420"/>
        <w:jc w:val="right"/>
        <w:rPr>
          <w:kern w:val="0"/>
          <w:szCs w:val="21"/>
        </w:rPr>
      </w:pPr>
    </w:p>
    <w:p>
      <w:pPr>
        <w:rPr>
          <w:szCs w:val="21"/>
        </w:rPr>
        <w:sectPr>
          <w:headerReference w:type="default" r:id="rId7"/>
          <w:footerReference w:type="first" r:id="rId8"/>
          <w:pgSz w:w="11906" w:h="16838"/>
          <w:pgMar w:top="1417" w:right="1133" w:bottom="1246" w:left="1418" w:header="851" w:footer="797" w:gutter="0"/>
          <w:docGrid w:linePitch="312" w:charSpace="0"/>
        </w:sectPr>
      </w:pPr>
      <w:bookmarkEnd w:id="10"/>
    </w:p>
    <w:p>
      <w:pPr>
        <w:pStyle w:val="31"/>
        <w:snapToGrid w:val="0"/>
        <w:spacing w:before="120" w:after="120" w:line="320" w:lineRule="exact"/>
        <w:jc w:val="center"/>
        <w:outlineLvl w:val="0"/>
        <w:rPr>
          <w:rFonts w:ascii="Times New Roman" w:cs="Times New Roman" w:hAnsi="Times New Roman"/>
          <w:sz w:val="32"/>
          <w:szCs w:val="32"/>
        </w:rPr>
      </w:pPr>
      <w:bookmarkStart w:id="20" w:name="_Toc9544"/>
      <w:bookmarkStart w:id="21" w:name="_Hlk89187818"/>
      <w:bookmarkEnd w:id="18"/>
      <w:bookmarkEnd w:id="19"/>
      <w:r>
        <w:rPr>
          <w:rFonts w:ascii="Times New Roman" w:cs="Times New Roman" w:hAnsi="Times New Roman"/>
          <w:sz w:val="32"/>
          <w:szCs w:val="32"/>
        </w:rPr>
        <w:t>第</w:t>
      </w:r>
      <w:r>
        <w:rPr>
          <w:rFonts w:ascii="Times New Roman" w:cs="Times New Roman" w:hAnsi="Times New Roman" w:hint="eastAsia"/>
          <w:sz w:val="32"/>
          <w:szCs w:val="32"/>
        </w:rPr>
        <w:t>二</w:t>
      </w:r>
      <w:r>
        <w:rPr>
          <w:rFonts w:ascii="Times New Roman" w:cs="Times New Roman" w:hAnsi="Times New Roman"/>
          <w:sz w:val="32"/>
          <w:szCs w:val="32"/>
        </w:rPr>
        <w:t xml:space="preserve">章  </w:t>
      </w:r>
      <w:r>
        <w:rPr>
          <w:rFonts w:ascii="Times New Roman" w:cs="Times New Roman" w:hAnsi="Times New Roman" w:hint="eastAsia"/>
          <w:sz w:val="32"/>
          <w:szCs w:val="32"/>
        </w:rPr>
        <w:t>采购需求</w:t>
      </w:r>
      <w:bookmarkEnd w:id="20"/>
    </w:p>
    <w:p>
      <w:pPr>
        <w:jc w:val="center"/>
        <w:rPr>
          <w:sz w:val="28"/>
          <w:szCs w:val="28"/>
        </w:rPr>
      </w:pP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b/>
          <w:kern w:val="0"/>
          <w:sz w:val="28"/>
          <w:szCs w:val="28"/>
        </w:rPr>
        <w:t>一、工程量清单</w:t>
      </w:r>
    </w:p>
    <w:p>
      <w:pPr>
        <w:keepNext/>
        <w:keepLines/>
        <w:widowControl w:val="0"/>
        <w:spacing w:line="360" w:lineRule="auto"/>
        <w:outlineLvl w:val="1"/>
        <w:rPr>
          <w:rFonts w:ascii="宋体" w:hint="eastAsia"/>
          <w:b/>
          <w:bCs/>
          <w:kern w:val="44"/>
          <w:szCs w:val="21"/>
          <w:lang w:val="zh-CN"/>
        </w:rPr>
      </w:pPr>
      <w:bookmarkStart w:id="22" w:name="_Toc83895642"/>
      <w:bookmarkStart w:id="23" w:name="_Toc407135284"/>
      <w:bookmarkStart w:id="24" w:name="_Toc256000131"/>
      <w:r>
        <w:rPr>
          <w:rFonts w:ascii="宋体"/>
          <w:b/>
          <w:bCs/>
          <w:szCs w:val="21"/>
          <w:lang w:val="zh-CN"/>
        </w:rPr>
        <w:t xml:space="preserve">1 </w:t>
      </w:r>
      <w:r>
        <w:rPr>
          <w:rFonts w:ascii="宋体" w:cs="黑体" w:hint="eastAsia"/>
          <w:b/>
          <w:bCs/>
          <w:szCs w:val="21"/>
          <w:lang w:val="zh-CN"/>
        </w:rPr>
        <w:t>工程量清单编制说明</w:t>
      </w:r>
      <w:bookmarkEnd w:id="22"/>
      <w:bookmarkEnd w:id="23"/>
      <w:bookmarkEnd w:id="24"/>
    </w:p>
    <w:p>
      <w:pPr>
        <w:spacing w:line="360" w:lineRule="auto"/>
        <w:ind w:firstLineChars="200" w:firstLine="420"/>
        <w:rPr>
          <w:rFonts w:ascii="宋体" w:hint="eastAsia"/>
          <w:szCs w:val="21"/>
        </w:rPr>
      </w:pPr>
      <w:r>
        <w:rPr>
          <w:rFonts w:ascii="宋体"/>
          <w:szCs w:val="21"/>
        </w:rPr>
        <w:t>1.1</w:t>
      </w:r>
      <w:r>
        <w:rPr>
          <w:rFonts w:ascii="宋体" w:cs="宋体" w:hint="eastAsia"/>
          <w:szCs w:val="21"/>
        </w:rPr>
        <w:t>本工程量清单依据《建设工程工程量清单计价规范（</w:t>
      </w:r>
      <w:r>
        <w:rPr>
          <w:rFonts w:ascii="宋体"/>
          <w:szCs w:val="21"/>
        </w:rPr>
        <w:t>GB50500-2013</w:t>
      </w:r>
      <w:r>
        <w:rPr>
          <w:rFonts w:ascii="宋体" w:cs="宋体" w:hint="eastAsia"/>
          <w:szCs w:val="21"/>
        </w:rPr>
        <w:t>）广西实施细则》（以下简称</w:t>
      </w:r>
      <w:r>
        <w:rPr>
          <w:rFonts w:ascii="宋体"/>
          <w:szCs w:val="21"/>
        </w:rPr>
        <w:t>“</w:t>
      </w:r>
      <w:r>
        <w:rPr>
          <w:rFonts w:ascii="宋体" w:cs="宋体" w:hint="eastAsia"/>
          <w:szCs w:val="21"/>
        </w:rPr>
        <w:t>《计价规范》</w:t>
      </w:r>
      <w:r>
        <w:rPr>
          <w:rFonts w:ascii="宋体"/>
          <w:szCs w:val="21"/>
        </w:rPr>
        <w:t>”</w:t>
      </w:r>
      <w:r>
        <w:rPr>
          <w:rFonts w:ascii="宋体" w:cs="宋体" w:hint="eastAsia"/>
          <w:szCs w:val="21"/>
        </w:rPr>
        <w:t>）、《工程量清单计算规范（</w:t>
      </w:r>
      <w:r>
        <w:rPr>
          <w:rFonts w:ascii="宋体"/>
          <w:szCs w:val="21"/>
        </w:rPr>
        <w:t>GB50854~50862-2013</w:t>
      </w:r>
      <w:r>
        <w:rPr>
          <w:rFonts w:ascii="宋体" w:cs="宋体" w:hint="eastAsia"/>
          <w:szCs w:val="21"/>
        </w:rPr>
        <w:t>）》及广西实施细则（修订本）（以下简称</w:t>
      </w:r>
      <w:r>
        <w:rPr>
          <w:rFonts w:ascii="宋体"/>
          <w:szCs w:val="21"/>
        </w:rPr>
        <w:t>“</w:t>
      </w:r>
      <w:r>
        <w:rPr>
          <w:rFonts w:ascii="宋体" w:cs="宋体" w:hint="eastAsia"/>
          <w:szCs w:val="21"/>
        </w:rPr>
        <w:t>《计算规范》</w:t>
      </w:r>
      <w:r>
        <w:rPr>
          <w:rFonts w:ascii="宋体"/>
          <w:szCs w:val="21"/>
        </w:rPr>
        <w:t>”</w:t>
      </w:r>
      <w:r>
        <w:rPr>
          <w:rFonts w:ascii="宋体" w:cs="宋体" w:hint="eastAsia"/>
          <w:szCs w:val="21"/>
        </w:rPr>
        <w:t>）、</w:t>
      </w:r>
      <w:r>
        <w:rPr>
          <w:rFonts w:ascii="宋体" w:cs="宋体" w:hint="eastAsia"/>
          <w:kern w:val="0"/>
          <w:szCs w:val="21"/>
        </w:rPr>
        <w:t>《关于建筑业实施营业税改征增值税后广西壮族自治区建设工程计价依据调整的通知》（桂建标〔</w:t>
      </w:r>
      <w:r>
        <w:rPr>
          <w:rFonts w:ascii="宋体"/>
          <w:kern w:val="0"/>
          <w:szCs w:val="21"/>
        </w:rPr>
        <w:t>2016</w:t>
      </w:r>
      <w:r>
        <w:rPr>
          <w:rFonts w:ascii="宋体" w:cs="宋体" w:hint="eastAsia"/>
          <w:kern w:val="0"/>
          <w:szCs w:val="21"/>
        </w:rPr>
        <w:t>〕</w:t>
      </w:r>
      <w:r>
        <w:rPr>
          <w:rFonts w:ascii="宋体"/>
          <w:kern w:val="0"/>
          <w:szCs w:val="21"/>
        </w:rPr>
        <w:t>17</w:t>
      </w:r>
      <w:r>
        <w:rPr>
          <w:rFonts w:ascii="宋体" w:cs="宋体" w:hint="eastAsia"/>
          <w:kern w:val="0"/>
          <w:szCs w:val="21"/>
        </w:rPr>
        <w:t>号）、磋商文件</w:t>
      </w:r>
      <w:r>
        <w:rPr>
          <w:rFonts w:ascii="宋体" w:cs="宋体" w:hint="eastAsia"/>
          <w:szCs w:val="21"/>
        </w:rPr>
        <w:t>、施工图等编制。计算规范中没有的清单项目，应在本章第</w:t>
      </w:r>
      <w:r>
        <w:rPr>
          <w:rFonts w:ascii="宋体"/>
          <w:szCs w:val="21"/>
        </w:rPr>
        <w:t>1.4</w:t>
      </w:r>
      <w:r>
        <w:rPr>
          <w:rFonts w:ascii="宋体" w:cs="宋体" w:hint="eastAsia"/>
          <w:szCs w:val="21"/>
        </w:rPr>
        <w:t>款约定。</w:t>
      </w:r>
    </w:p>
    <w:p>
      <w:pPr>
        <w:spacing w:line="360" w:lineRule="auto"/>
        <w:ind w:firstLineChars="200" w:firstLine="420"/>
        <w:rPr>
          <w:rFonts w:ascii="宋体" w:hint="eastAsia"/>
          <w:szCs w:val="21"/>
        </w:rPr>
      </w:pPr>
      <w:r>
        <w:rPr>
          <w:rFonts w:ascii="宋体"/>
          <w:szCs w:val="21"/>
        </w:rPr>
        <w:t xml:space="preserve">1.2 </w:t>
      </w:r>
      <w:r>
        <w:rPr>
          <w:rFonts w:ascii="宋体" w:hint="eastAsia"/>
          <w:szCs w:val="21"/>
        </w:rPr>
        <w:t>工程量清单应与供应商须知、合同协议条款、合同的通用条款、合同专用条款、技术规范及图纸等文件一起结合使用。</w:t>
      </w:r>
    </w:p>
    <w:p>
      <w:pPr>
        <w:spacing w:line="360" w:lineRule="auto"/>
        <w:ind w:firstLineChars="200" w:firstLine="420"/>
        <w:rPr>
          <w:rFonts w:ascii="宋体" w:hint="eastAsia"/>
          <w:szCs w:val="21"/>
        </w:rPr>
      </w:pPr>
      <w:r>
        <w:rPr>
          <w:rFonts w:ascii="宋体"/>
          <w:szCs w:val="21"/>
        </w:rPr>
        <w:t xml:space="preserve">1.3 </w:t>
      </w:r>
      <w:r>
        <w:rPr>
          <w:rFonts w:ascii="宋体" w:cs="宋体" w:hint="eastAsia"/>
          <w:szCs w:val="21"/>
        </w:rPr>
        <w:t>工程量清单是磋商文件的组成部分，是工程量清单计价的基础，作为编制预算金额、响应报价、计算或调整工程量、索赔等的依据之一。</w:t>
      </w:r>
    </w:p>
    <w:p>
      <w:pPr>
        <w:spacing w:line="360" w:lineRule="auto"/>
        <w:ind w:firstLineChars="200" w:firstLine="420"/>
        <w:rPr>
          <w:rFonts w:ascii="宋体" w:hint="eastAsia"/>
          <w:szCs w:val="21"/>
        </w:rPr>
      </w:pPr>
      <w:r>
        <w:rPr>
          <w:rFonts w:ascii="宋体"/>
          <w:szCs w:val="21"/>
        </w:rPr>
        <w:t xml:space="preserve">1.4 </w:t>
      </w:r>
      <w:r>
        <w:rPr>
          <w:rFonts w:ascii="宋体" w:cs="宋体" w:hint="eastAsia"/>
          <w:szCs w:val="21"/>
        </w:rPr>
        <w:t>补充清单项目的特征、计量单位、工程量计算规则及工作内容说明如下：</w:t>
      </w:r>
    </w:p>
    <w:p>
      <w:pPr>
        <w:spacing w:line="360" w:lineRule="auto"/>
        <w:rPr>
          <w:rFonts w:ascii="宋体" w:hint="eastAsia"/>
          <w:szCs w:val="21"/>
        </w:rPr>
      </w:pPr>
      <w:r>
        <w:rPr>
          <w:rFonts w:ascii="宋体"/>
          <w:szCs w:val="21"/>
        </w:rPr>
        <w:t xml:space="preserve">   </w:t>
      </w:r>
      <w:bookmarkStart w:id="25" w:name="EBabbac81508c54ae7bea6f8a2137db442"/>
      <w:r>
        <w:rPr>
          <w:rFonts w:ascii="宋体" w:hint="eastAsia"/>
          <w:szCs w:val="21"/>
        </w:rPr>
        <w:t>对工程和材料的一般指示或说明已写于合同文件、图纸和技术规范内。给工程量清单各细目标价前，须参阅合同文件和技术规范的有关部分</w:t>
      </w:r>
      <w:bookmarkEnd w:id="25"/>
    </w:p>
    <w:p>
      <w:pPr>
        <w:spacing w:line="360" w:lineRule="auto"/>
        <w:ind w:firstLineChars="200" w:firstLine="420"/>
        <w:rPr>
          <w:rFonts w:ascii="宋体" w:hint="eastAsia"/>
          <w:szCs w:val="21"/>
        </w:rPr>
      </w:pPr>
      <w:r>
        <w:rPr>
          <w:rFonts w:ascii="宋体" w:hint="eastAsia"/>
          <w:szCs w:val="21"/>
        </w:rPr>
        <w:t>1.5 《允许调整主要材料和工程设备一览表》（表-22，表格编号为计价规范相应表格编号，下同）作为项目实施过程中材料和设备价格风险调整依据。</w:t>
      </w:r>
    </w:p>
    <w:p>
      <w:pPr>
        <w:spacing w:line="360" w:lineRule="auto"/>
        <w:ind w:firstLineChars="200" w:firstLine="420"/>
        <w:rPr>
          <w:rFonts w:ascii="宋体" w:hint="eastAsia"/>
          <w:szCs w:val="21"/>
        </w:rPr>
      </w:pPr>
      <w:r>
        <w:rPr>
          <w:rFonts w:ascii="宋体"/>
          <w:szCs w:val="21"/>
        </w:rPr>
        <w:t xml:space="preserve">1.6 </w:t>
      </w:r>
      <w:r>
        <w:rPr>
          <w:rFonts w:ascii="宋体" w:hint="eastAsia"/>
          <w:szCs w:val="21"/>
        </w:rPr>
        <w:t>本工程暂列金额（约按合同造价</w:t>
      </w:r>
      <w:bookmarkStart w:id="26" w:name="EB5e31469b1177475ab1fa5dbc1254ea04"/>
      <w:r>
        <w:rPr>
          <w:rFonts w:ascii="宋体" w:hint="eastAsia"/>
          <w:szCs w:val="21"/>
        </w:rPr>
        <w:t>详见工程量清单及预算金额</w:t>
      </w:r>
      <w:bookmarkEnd w:id="26"/>
      <w:r>
        <w:rPr>
          <w:rFonts w:ascii="宋体"/>
          <w:szCs w:val="21"/>
        </w:rPr>
        <w:t>%</w:t>
      </w:r>
      <w:r>
        <w:rPr>
          <w:rFonts w:ascii="宋体" w:hint="eastAsia"/>
          <w:szCs w:val="21"/>
        </w:rPr>
        <w:t>计算），共</w:t>
      </w:r>
      <w:bookmarkStart w:id="27" w:name="EBa952e412ae9047c3945d65ddad27d8ee"/>
      <w:r>
        <w:rPr>
          <w:rFonts w:ascii="宋体" w:hint="eastAsia"/>
          <w:szCs w:val="21"/>
        </w:rPr>
        <w:t>详见工程量清单及预算金额</w:t>
      </w:r>
      <w:bookmarkEnd w:id="27"/>
      <w:r>
        <w:rPr>
          <w:rFonts w:ascii="宋体" w:hint="eastAsia"/>
          <w:szCs w:val="21"/>
        </w:rPr>
        <w:t>元，作为合同签订时尚未确定或者不可预见但施工中可能发生的费用。</w:t>
      </w:r>
    </w:p>
    <w:p>
      <w:pPr>
        <w:spacing w:line="360" w:lineRule="auto"/>
        <w:ind w:firstLineChars="200" w:firstLine="420"/>
        <w:rPr>
          <w:rFonts w:ascii="宋体" w:hint="eastAsia"/>
          <w:szCs w:val="21"/>
        </w:rPr>
      </w:pPr>
      <w:r>
        <w:rPr>
          <w:rFonts w:ascii="宋体"/>
          <w:szCs w:val="21"/>
        </w:rPr>
        <w:t xml:space="preserve">1.7 </w:t>
      </w:r>
      <w:r>
        <w:rPr>
          <w:rFonts w:ascii="宋体" w:hint="eastAsia"/>
          <w:szCs w:val="21"/>
        </w:rPr>
        <w:t>本工程发包人提供的材料和设备详见《发包人提供的主要材料和工程设备一览表》（表</w:t>
      </w:r>
      <w:r>
        <w:rPr>
          <w:rFonts w:ascii="宋体"/>
          <w:szCs w:val="21"/>
        </w:rPr>
        <w:t>-21</w:t>
      </w:r>
      <w:r>
        <w:rPr>
          <w:rFonts w:ascii="宋体" w:hint="eastAsia"/>
          <w:szCs w:val="21"/>
        </w:rPr>
        <w:t>）。</w:t>
      </w:r>
    </w:p>
    <w:p>
      <w:pPr>
        <w:spacing w:line="360" w:lineRule="auto"/>
        <w:ind w:firstLineChars="200" w:firstLine="420"/>
        <w:rPr>
          <w:rFonts w:ascii="宋体" w:hint="eastAsia"/>
          <w:szCs w:val="21"/>
        </w:rPr>
      </w:pPr>
      <w:r>
        <w:rPr>
          <w:rFonts w:ascii="宋体"/>
          <w:szCs w:val="21"/>
        </w:rPr>
        <w:t xml:space="preserve">1.8 </w:t>
      </w:r>
      <w:r>
        <w:rPr>
          <w:rFonts w:ascii="宋体" w:cs="宋体" w:hint="eastAsia"/>
          <w:szCs w:val="21"/>
        </w:rPr>
        <w:t>本工程部分材料和设备在磋商时作为暂估价计列，结算按实调整，具体内容详见《材料（工程设备）暂估单价及调整表》（表</w:t>
      </w:r>
      <w:r>
        <w:rPr>
          <w:rFonts w:ascii="宋体"/>
          <w:szCs w:val="21"/>
        </w:rPr>
        <w:t>12-2</w:t>
      </w:r>
      <w:r>
        <w:rPr>
          <w:rFonts w:ascii="宋体" w:cs="宋体" w:hint="eastAsia"/>
          <w:szCs w:val="21"/>
        </w:rPr>
        <w:t>）。</w:t>
      </w:r>
    </w:p>
    <w:p>
      <w:pPr>
        <w:spacing w:line="360" w:lineRule="auto"/>
        <w:ind w:firstLineChars="200" w:firstLine="420"/>
        <w:rPr>
          <w:rFonts w:ascii="宋体" w:hint="eastAsia"/>
          <w:szCs w:val="21"/>
        </w:rPr>
      </w:pPr>
      <w:r>
        <w:rPr>
          <w:rFonts w:ascii="宋体"/>
          <w:szCs w:val="21"/>
        </w:rPr>
        <w:t xml:space="preserve">1.9 </w:t>
      </w:r>
      <w:r>
        <w:rPr>
          <w:rFonts w:ascii="宋体" w:cs="宋体" w:hint="eastAsia"/>
          <w:szCs w:val="21"/>
        </w:rPr>
        <w:t>磋商时暂估专业工程的价款属于暂估价，结算按实调整，具体内容详见《专业工程暂估价及结算价表》（表</w:t>
      </w:r>
      <w:r>
        <w:rPr>
          <w:rFonts w:ascii="宋体"/>
          <w:szCs w:val="21"/>
        </w:rPr>
        <w:t>12-3</w:t>
      </w:r>
      <w:r>
        <w:rPr>
          <w:rFonts w:ascii="宋体" w:cs="宋体" w:hint="eastAsia"/>
          <w:szCs w:val="21"/>
        </w:rPr>
        <w:t>）。</w:t>
      </w:r>
    </w:p>
    <w:p>
      <w:pPr>
        <w:spacing w:line="360" w:lineRule="auto"/>
        <w:ind w:firstLineChars="200" w:firstLine="420"/>
        <w:rPr>
          <w:rFonts w:ascii="宋体" w:hint="eastAsia"/>
          <w:szCs w:val="21"/>
        </w:rPr>
      </w:pPr>
      <w:r>
        <w:rPr>
          <w:rFonts w:ascii="宋体"/>
          <w:szCs w:val="21"/>
        </w:rPr>
        <w:t xml:space="preserve">1.10 </w:t>
      </w:r>
      <w:r>
        <w:rPr>
          <w:rFonts w:ascii="宋体" w:cs="宋体" w:hint="eastAsia"/>
          <w:szCs w:val="21"/>
        </w:rPr>
        <w:t>本工程量清单编码处标注</w:t>
      </w:r>
      <w:r>
        <w:rPr>
          <w:rFonts w:ascii="宋体"/>
          <w:szCs w:val="21"/>
        </w:rPr>
        <w:t>“*”</w:t>
      </w:r>
      <w:r>
        <w:rPr>
          <w:rFonts w:ascii="宋体" w:cs="宋体" w:hint="eastAsia"/>
          <w:szCs w:val="21"/>
        </w:rPr>
        <w:t>号的清单项目作为主要清单项目，需要供应商提供《主要清单项目工料机分析表》（表</w:t>
      </w:r>
      <w:r>
        <w:rPr>
          <w:rFonts w:ascii="宋体"/>
          <w:szCs w:val="21"/>
        </w:rPr>
        <w:t>-10</w:t>
      </w:r>
      <w:r>
        <w:rPr>
          <w:rFonts w:ascii="宋体" w:cs="宋体" w:hint="eastAsia"/>
          <w:szCs w:val="21"/>
        </w:rPr>
        <w:t>）。</w:t>
      </w:r>
    </w:p>
    <w:p>
      <w:pPr>
        <w:spacing w:line="360" w:lineRule="auto"/>
        <w:ind w:firstLineChars="200" w:firstLine="420"/>
        <w:rPr>
          <w:rFonts w:ascii="宋体" w:hint="eastAsia"/>
          <w:szCs w:val="21"/>
        </w:rPr>
      </w:pPr>
      <w:r>
        <w:rPr>
          <w:rFonts w:ascii="宋体"/>
          <w:szCs w:val="21"/>
        </w:rPr>
        <w:t xml:space="preserve">1.11 </w:t>
      </w:r>
      <w:r>
        <w:rPr>
          <w:rFonts w:ascii="宋体" w:cs="宋体" w:hint="eastAsia"/>
          <w:szCs w:val="21"/>
        </w:rPr>
        <w:t>其它需要说明的问题：</w:t>
      </w:r>
      <w:bookmarkStart w:id="28" w:name="EB019ea8e633a041c1ae831af2ffe31e82"/>
      <w:r>
        <w:rPr>
          <w:rFonts w:ascii="宋体" w:hint="eastAsia"/>
          <w:szCs w:val="21"/>
        </w:rPr>
        <w:t>无</w:t>
      </w:r>
      <w:bookmarkEnd w:id="28"/>
    </w:p>
    <w:p>
      <w:pPr>
        <w:spacing w:line="360" w:lineRule="auto"/>
        <w:ind w:firstLineChars="200" w:firstLine="420"/>
        <w:jc w:val="left"/>
        <w:rPr>
          <w:rFonts w:ascii="宋体" w:cs="宋体" w:hint="eastAsia"/>
          <w:szCs w:val="21"/>
        </w:rPr>
      </w:pPr>
      <w:r>
        <w:rPr>
          <w:rFonts w:ascii="宋体"/>
          <w:szCs w:val="21"/>
        </w:rPr>
        <w:t xml:space="preserve">1.12 </w:t>
      </w:r>
      <w:r>
        <w:rPr>
          <w:rFonts w:ascii="宋体" w:cs="宋体" w:hint="eastAsia"/>
          <w:szCs w:val="21"/>
        </w:rPr>
        <w:t>一般计税法建设工程的工程量清单表格按</w:t>
      </w:r>
      <w:r>
        <w:rPr>
          <w:rFonts w:ascii="宋体" w:cs="宋体" w:hint="eastAsia"/>
          <w:kern w:val="0"/>
          <w:szCs w:val="21"/>
        </w:rPr>
        <w:t>《关于建筑业实施营业税改征增值税后广西壮族自治区建设工程计价依据调整的通知》（桂建标〔</w:t>
      </w:r>
      <w:r>
        <w:rPr>
          <w:rFonts w:ascii="宋体"/>
          <w:kern w:val="0"/>
          <w:szCs w:val="21"/>
        </w:rPr>
        <w:t>2016</w:t>
      </w:r>
      <w:r>
        <w:rPr>
          <w:rFonts w:ascii="宋体" w:cs="宋体" w:hint="eastAsia"/>
          <w:kern w:val="0"/>
          <w:szCs w:val="21"/>
        </w:rPr>
        <w:t>〕</w:t>
      </w:r>
      <w:r>
        <w:rPr>
          <w:rFonts w:ascii="宋体"/>
          <w:kern w:val="0"/>
          <w:szCs w:val="21"/>
        </w:rPr>
        <w:t>17</w:t>
      </w:r>
      <w:r>
        <w:rPr>
          <w:rFonts w:ascii="宋体" w:cs="宋体" w:hint="eastAsia"/>
          <w:kern w:val="0"/>
          <w:szCs w:val="21"/>
        </w:rPr>
        <w:t>号）</w:t>
      </w:r>
      <w:r>
        <w:rPr>
          <w:rFonts w:ascii="宋体" w:cs="宋体" w:hint="eastAsia"/>
          <w:szCs w:val="21"/>
        </w:rPr>
        <w:t>附件“增值税一般计税方法工程计价表”要求提供；简易计税法建设工程按照《计价规范》要求的表格提供，但规费和税费要按照《关于建筑业实施营业税改征增值税后广西壮族自治区建设工程计价依据调整的通知》（桂建标〔</w:t>
      </w:r>
      <w:r>
        <w:rPr>
          <w:rFonts w:ascii="宋体"/>
          <w:szCs w:val="21"/>
        </w:rPr>
        <w:t>2016</w:t>
      </w:r>
      <w:r>
        <w:rPr>
          <w:rFonts w:ascii="宋体" w:cs="宋体" w:hint="eastAsia"/>
          <w:szCs w:val="21"/>
        </w:rPr>
        <w:t>〕</w:t>
      </w:r>
      <w:r>
        <w:rPr>
          <w:rFonts w:ascii="宋体"/>
          <w:szCs w:val="21"/>
        </w:rPr>
        <w:t>17</w:t>
      </w:r>
      <w:r>
        <w:rPr>
          <w:rFonts w:ascii="宋体" w:cs="宋体" w:hint="eastAsia"/>
          <w:szCs w:val="21"/>
        </w:rPr>
        <w:t>号）要求调整，具体包括：</w:t>
      </w:r>
    </w:p>
    <w:p>
      <w:pPr>
        <w:spacing w:line="360" w:lineRule="auto"/>
        <w:rPr>
          <w:rFonts w:ascii="宋体" w:hint="eastAsia"/>
          <w:szCs w:val="21"/>
        </w:rPr>
      </w:pPr>
      <w:bookmarkStart w:id="29" w:name="EBf2d3e459a9204ed5a6277ac207540ef8"/>
      <w:r>
        <w:rPr>
          <w:rFonts w:ascii="宋体" w:hint="eastAsia"/>
          <w:szCs w:val="21"/>
        </w:rPr>
        <w:t xml:space="preserve">1.1工程量清单（封-1）     </w:t>
      </w:r>
    </w:p>
    <w:p>
      <w:pPr>
        <w:spacing w:line="360" w:lineRule="auto"/>
        <w:rPr>
          <w:rFonts w:ascii="宋体" w:hint="eastAsia"/>
          <w:szCs w:val="21"/>
        </w:rPr>
      </w:pPr>
      <w:r>
        <w:rPr>
          <w:rFonts w:ascii="宋体" w:hint="eastAsia"/>
          <w:szCs w:val="21"/>
        </w:rPr>
        <w:t xml:space="preserve">1.2工程量清单（封扉-1）     </w:t>
      </w:r>
    </w:p>
    <w:p>
      <w:pPr>
        <w:spacing w:line="360" w:lineRule="auto"/>
        <w:rPr>
          <w:rFonts w:ascii="宋体" w:hint="eastAsia"/>
          <w:szCs w:val="21"/>
        </w:rPr>
      </w:pPr>
      <w:r>
        <w:rPr>
          <w:rFonts w:ascii="宋体" w:hint="eastAsia"/>
          <w:szCs w:val="21"/>
        </w:rPr>
        <w:t xml:space="preserve">1.3 总说明（表-01）     </w:t>
      </w:r>
    </w:p>
    <w:p>
      <w:pPr>
        <w:spacing w:line="360" w:lineRule="auto"/>
        <w:rPr>
          <w:rFonts w:ascii="宋体" w:hint="eastAsia"/>
          <w:szCs w:val="21"/>
        </w:rPr>
      </w:pPr>
      <w:r>
        <w:rPr>
          <w:rFonts w:ascii="宋体" w:hint="eastAsia"/>
          <w:szCs w:val="21"/>
        </w:rPr>
        <w:t xml:space="preserve">1.4 建设项目响应报价汇总表（表-02）     </w:t>
      </w:r>
    </w:p>
    <w:p>
      <w:pPr>
        <w:spacing w:line="360" w:lineRule="auto"/>
        <w:rPr>
          <w:rFonts w:ascii="宋体" w:hint="eastAsia"/>
          <w:szCs w:val="21"/>
        </w:rPr>
      </w:pPr>
      <w:r>
        <w:rPr>
          <w:rFonts w:ascii="宋体" w:hint="eastAsia"/>
          <w:szCs w:val="21"/>
        </w:rPr>
        <w:t xml:space="preserve">1.5 单项工程响应报价汇总表（表-03）     </w:t>
      </w:r>
    </w:p>
    <w:p>
      <w:pPr>
        <w:spacing w:line="360" w:lineRule="auto"/>
        <w:rPr>
          <w:rFonts w:ascii="宋体" w:hint="eastAsia"/>
          <w:szCs w:val="21"/>
        </w:rPr>
      </w:pPr>
      <w:r>
        <w:rPr>
          <w:rFonts w:ascii="宋体" w:hint="eastAsia"/>
          <w:szCs w:val="21"/>
        </w:rPr>
        <w:t xml:space="preserve">1.6 单位工程响应报价汇总表（表-04）     </w:t>
      </w:r>
    </w:p>
    <w:p>
      <w:pPr>
        <w:spacing w:line="360" w:lineRule="auto"/>
        <w:rPr>
          <w:rFonts w:ascii="宋体" w:hint="eastAsia"/>
          <w:szCs w:val="21"/>
        </w:rPr>
      </w:pPr>
      <w:r>
        <w:rPr>
          <w:rFonts w:ascii="宋体" w:hint="eastAsia"/>
          <w:szCs w:val="21"/>
        </w:rPr>
        <w:t xml:space="preserve">1.7 分部分项工程和单价措施项目清单与计价表（表-08）     </w:t>
      </w:r>
    </w:p>
    <w:p>
      <w:pPr>
        <w:spacing w:line="360" w:lineRule="auto"/>
        <w:rPr>
          <w:rFonts w:ascii="宋体" w:hint="eastAsia"/>
          <w:szCs w:val="21"/>
        </w:rPr>
      </w:pPr>
      <w:r>
        <w:rPr>
          <w:rFonts w:ascii="宋体" w:hint="eastAsia"/>
          <w:szCs w:val="21"/>
        </w:rPr>
        <w:t xml:space="preserve">1.8 总价措施项目清单与计价表（表-11）     </w:t>
      </w:r>
    </w:p>
    <w:p>
      <w:pPr>
        <w:spacing w:line="360" w:lineRule="auto"/>
        <w:rPr>
          <w:rFonts w:ascii="宋体" w:hint="eastAsia"/>
          <w:szCs w:val="21"/>
        </w:rPr>
      </w:pPr>
      <w:r>
        <w:rPr>
          <w:rFonts w:ascii="宋体" w:hint="eastAsia"/>
          <w:szCs w:val="21"/>
        </w:rPr>
        <w:t xml:space="preserve">1.9 其他项目清单与计价汇总表（表-12）     </w:t>
      </w:r>
    </w:p>
    <w:p>
      <w:pPr>
        <w:spacing w:line="360" w:lineRule="auto"/>
        <w:rPr>
          <w:rFonts w:ascii="宋体" w:hint="eastAsia"/>
          <w:szCs w:val="21"/>
        </w:rPr>
      </w:pPr>
      <w:r>
        <w:rPr>
          <w:rFonts w:ascii="宋体" w:hint="eastAsia"/>
          <w:szCs w:val="21"/>
        </w:rPr>
        <w:t xml:space="preserve">1.10 暂列金额明细表（表12-1）     </w:t>
      </w:r>
    </w:p>
    <w:p>
      <w:pPr>
        <w:spacing w:line="360" w:lineRule="auto"/>
        <w:rPr>
          <w:rFonts w:ascii="宋体" w:hint="eastAsia"/>
          <w:szCs w:val="21"/>
        </w:rPr>
      </w:pPr>
      <w:r>
        <w:rPr>
          <w:rFonts w:ascii="宋体" w:hint="eastAsia"/>
          <w:szCs w:val="21"/>
        </w:rPr>
        <w:t xml:space="preserve">1.11 材料（工程设备）暂估单价及调整表（表12-2）     </w:t>
      </w:r>
    </w:p>
    <w:p>
      <w:pPr>
        <w:spacing w:line="360" w:lineRule="auto"/>
        <w:rPr>
          <w:rFonts w:ascii="宋体" w:hint="eastAsia"/>
          <w:szCs w:val="21"/>
        </w:rPr>
      </w:pPr>
      <w:r>
        <w:rPr>
          <w:rFonts w:ascii="宋体" w:hint="eastAsia"/>
          <w:szCs w:val="21"/>
        </w:rPr>
        <w:t xml:space="preserve">1.12 专业工程暂估价及结算价表（表12-3）     </w:t>
      </w:r>
    </w:p>
    <w:p>
      <w:pPr>
        <w:spacing w:line="360" w:lineRule="auto"/>
        <w:rPr>
          <w:rFonts w:ascii="宋体" w:hint="eastAsia"/>
          <w:szCs w:val="21"/>
        </w:rPr>
      </w:pPr>
      <w:r>
        <w:rPr>
          <w:rFonts w:ascii="宋体" w:hint="eastAsia"/>
          <w:szCs w:val="21"/>
        </w:rPr>
        <w:t xml:space="preserve">1.13 计日工表（表12-4）     </w:t>
      </w:r>
    </w:p>
    <w:p>
      <w:pPr>
        <w:spacing w:line="360" w:lineRule="auto"/>
        <w:rPr>
          <w:rFonts w:ascii="宋体" w:hint="eastAsia"/>
          <w:szCs w:val="21"/>
        </w:rPr>
      </w:pPr>
      <w:r>
        <w:rPr>
          <w:rFonts w:ascii="宋体" w:hint="eastAsia"/>
          <w:szCs w:val="21"/>
        </w:rPr>
        <w:t xml:space="preserve">1.14 总承包服务费计价表（表12-5）     </w:t>
      </w:r>
    </w:p>
    <w:p>
      <w:pPr>
        <w:spacing w:line="360" w:lineRule="auto"/>
        <w:rPr>
          <w:rFonts w:ascii="宋体" w:hint="eastAsia"/>
          <w:szCs w:val="21"/>
        </w:rPr>
      </w:pPr>
      <w:r>
        <w:rPr>
          <w:rFonts w:ascii="宋体" w:hint="eastAsia"/>
          <w:szCs w:val="21"/>
        </w:rPr>
        <w:t xml:space="preserve">1.15 税前项目清单与计价表（表-14）     </w:t>
      </w:r>
    </w:p>
    <w:p>
      <w:pPr>
        <w:spacing w:line="360" w:lineRule="auto"/>
        <w:rPr>
          <w:rFonts w:ascii="宋体" w:hint="eastAsia"/>
          <w:szCs w:val="21"/>
        </w:rPr>
      </w:pPr>
      <w:r>
        <w:rPr>
          <w:rFonts w:ascii="宋体" w:hint="eastAsia"/>
          <w:szCs w:val="21"/>
        </w:rPr>
        <w:t xml:space="preserve">1.16 规费、增值税计价表（表-15）     </w:t>
      </w:r>
    </w:p>
    <w:p>
      <w:pPr>
        <w:spacing w:line="360" w:lineRule="auto"/>
        <w:rPr>
          <w:rFonts w:ascii="宋体" w:hint="eastAsia"/>
          <w:szCs w:val="21"/>
        </w:rPr>
      </w:pPr>
      <w:r>
        <w:rPr>
          <w:rFonts w:ascii="宋体" w:hint="eastAsia"/>
          <w:szCs w:val="21"/>
        </w:rPr>
        <w:t xml:space="preserve">1.17 发包人提供主要材料和工程设备一览表（表-21）     </w:t>
      </w:r>
    </w:p>
    <w:p>
      <w:pPr>
        <w:spacing w:line="360" w:lineRule="auto"/>
        <w:rPr>
          <w:rFonts w:ascii="宋体" w:hint="eastAsia"/>
          <w:szCs w:val="21"/>
        </w:rPr>
      </w:pPr>
      <w:r>
        <w:rPr>
          <w:rFonts w:ascii="宋体" w:hint="eastAsia"/>
          <w:szCs w:val="21"/>
        </w:rPr>
        <w:t xml:space="preserve">1.18 允许调整主要材料和工程设备一览表（适用于造价信息差额调整法）（表-22）     </w:t>
      </w:r>
    </w:p>
    <w:p>
      <w:pPr>
        <w:spacing w:line="360" w:lineRule="auto"/>
        <w:rPr>
          <w:rFonts w:ascii="宋体" w:hint="eastAsia"/>
          <w:szCs w:val="21"/>
        </w:rPr>
      </w:pPr>
      <w:r>
        <w:rPr>
          <w:rFonts w:ascii="宋体" w:hint="eastAsia"/>
          <w:szCs w:val="21"/>
        </w:rPr>
        <w:t xml:space="preserve">1.19允许调整主要材料和工程设备一览表（适用于价格指数差额调整法）（表-23）     </w:t>
      </w:r>
    </w:p>
    <w:p>
      <w:pPr>
        <w:spacing w:line="360" w:lineRule="auto"/>
        <w:rPr>
          <w:rFonts w:ascii="宋体" w:hint="eastAsia"/>
          <w:szCs w:val="21"/>
        </w:rPr>
      </w:pPr>
      <w:r>
        <w:rPr>
          <w:rFonts w:ascii="宋体" w:hint="eastAsia"/>
          <w:szCs w:val="21"/>
        </w:rPr>
        <w:t xml:space="preserve">1.20本工程材料和工程设备一览表（表-24）     </w:t>
      </w:r>
    </w:p>
    <w:p>
      <w:pPr>
        <w:spacing w:line="360" w:lineRule="auto"/>
        <w:rPr>
          <w:rFonts w:ascii="宋体" w:hint="eastAsia"/>
          <w:szCs w:val="21"/>
        </w:rPr>
      </w:pPr>
      <w:r>
        <w:rPr>
          <w:rFonts w:ascii="宋体" w:hint="eastAsia"/>
          <w:szCs w:val="21"/>
        </w:rPr>
        <w:t xml:space="preserve">注：如本工程在合同中约定采用造价信息价差调整法，1.18 允许调整主要材料和工程设备一览表（适用于造价信息差额调整法）（表-22）载明的主要材料和工程设备为本工程允许调整材料和工程设备，工程量清单必须提供该表格，并应载明允许调整材料和工程设备名称型号规格、单位、风险系数、基准单价等内容，且不能提供空白表。     </w:t>
      </w:r>
    </w:p>
    <w:p>
      <w:pPr>
        <w:spacing w:line="360" w:lineRule="auto"/>
        <w:rPr>
          <w:rFonts w:ascii="宋体" w:hint="eastAsia"/>
          <w:szCs w:val="21"/>
        </w:rPr>
      </w:pPr>
      <w:r>
        <w:rPr>
          <w:rFonts w:ascii="宋体" w:hint="eastAsia"/>
          <w:szCs w:val="21"/>
        </w:rPr>
        <w:t xml:space="preserve">以下表格视工程实际需要选用，如该工程不发生如下表格相关项目和费用，所编制工程量清单则不需列入相应表格：     </w:t>
      </w:r>
    </w:p>
    <w:p>
      <w:pPr>
        <w:spacing w:line="360" w:lineRule="auto"/>
        <w:rPr>
          <w:rFonts w:ascii="宋体" w:hint="eastAsia"/>
          <w:szCs w:val="21"/>
        </w:rPr>
      </w:pPr>
      <w:r>
        <w:rPr>
          <w:rFonts w:ascii="宋体" w:hint="eastAsia"/>
          <w:szCs w:val="21"/>
        </w:rPr>
        <w:t xml:space="preserve">①建设项目响应报价汇总表（表-02）     </w:t>
      </w:r>
    </w:p>
    <w:p>
      <w:pPr>
        <w:spacing w:line="360" w:lineRule="auto"/>
        <w:rPr>
          <w:rFonts w:ascii="宋体" w:hint="eastAsia"/>
          <w:szCs w:val="21"/>
        </w:rPr>
      </w:pPr>
      <w:r>
        <w:rPr>
          <w:rFonts w:ascii="宋体" w:hint="eastAsia"/>
          <w:szCs w:val="21"/>
        </w:rPr>
        <w:t xml:space="preserve">②暂列金额明细表（表12-1）     </w:t>
      </w:r>
    </w:p>
    <w:p>
      <w:pPr>
        <w:spacing w:line="360" w:lineRule="auto"/>
        <w:rPr>
          <w:rFonts w:ascii="宋体" w:hint="eastAsia"/>
          <w:szCs w:val="21"/>
        </w:rPr>
      </w:pPr>
      <w:r>
        <w:rPr>
          <w:rFonts w:ascii="宋体" w:hint="eastAsia"/>
          <w:szCs w:val="21"/>
        </w:rPr>
        <w:t xml:space="preserve">③材料（工程设备）暂估单价及调整表（表12-2）     </w:t>
      </w:r>
    </w:p>
    <w:p>
      <w:pPr>
        <w:spacing w:line="360" w:lineRule="auto"/>
        <w:rPr>
          <w:rFonts w:ascii="宋体" w:hint="eastAsia"/>
          <w:szCs w:val="21"/>
        </w:rPr>
      </w:pPr>
      <w:r>
        <w:rPr>
          <w:rFonts w:ascii="宋体" w:hint="eastAsia"/>
          <w:szCs w:val="21"/>
        </w:rPr>
        <w:t xml:space="preserve">④专业工程暂估价表（表12-3）     </w:t>
      </w:r>
    </w:p>
    <w:p>
      <w:pPr>
        <w:spacing w:line="360" w:lineRule="auto"/>
        <w:rPr>
          <w:rFonts w:ascii="宋体" w:hint="eastAsia"/>
          <w:szCs w:val="21"/>
        </w:rPr>
      </w:pPr>
      <w:r>
        <w:rPr>
          <w:rFonts w:ascii="宋体" w:hint="eastAsia"/>
          <w:szCs w:val="21"/>
        </w:rPr>
        <w:t xml:space="preserve">⑤计日工表（表12-4）     </w:t>
      </w:r>
    </w:p>
    <w:p>
      <w:pPr>
        <w:spacing w:line="360" w:lineRule="auto"/>
        <w:rPr>
          <w:rFonts w:ascii="宋体" w:hint="eastAsia"/>
          <w:szCs w:val="21"/>
        </w:rPr>
      </w:pPr>
      <w:r>
        <w:rPr>
          <w:rFonts w:ascii="宋体" w:hint="eastAsia"/>
          <w:szCs w:val="21"/>
        </w:rPr>
        <w:t xml:space="preserve">⑥总承包服务费计价表（表12-5）     </w:t>
      </w:r>
    </w:p>
    <w:p>
      <w:pPr>
        <w:spacing w:line="360" w:lineRule="auto"/>
        <w:rPr>
          <w:rFonts w:ascii="宋体" w:hint="eastAsia"/>
          <w:szCs w:val="21"/>
        </w:rPr>
      </w:pPr>
      <w:r>
        <w:rPr>
          <w:rFonts w:ascii="宋体" w:hint="eastAsia"/>
          <w:szCs w:val="21"/>
        </w:rPr>
        <w:t xml:space="preserve">⑦税前项目清单与计价表（表-14）     </w:t>
      </w:r>
    </w:p>
    <w:p>
      <w:pPr>
        <w:spacing w:line="360" w:lineRule="auto"/>
        <w:rPr>
          <w:rFonts w:ascii="宋体" w:hint="eastAsia"/>
          <w:szCs w:val="21"/>
        </w:rPr>
      </w:pPr>
      <w:r>
        <w:rPr>
          <w:rFonts w:ascii="宋体" w:hint="eastAsia"/>
          <w:szCs w:val="21"/>
        </w:rPr>
        <w:t>⑧允许调整主要材料和工程设备一览表（适用于价格指数差额调整法）（表-23）</w:t>
      </w:r>
      <w:bookmarkEnd w:id="29"/>
    </w:p>
    <w:p>
      <w:pPr>
        <w:keepNext/>
        <w:keepLines/>
        <w:widowControl w:val="0"/>
        <w:spacing w:line="360" w:lineRule="auto"/>
        <w:outlineLvl w:val="1"/>
        <w:rPr>
          <w:rFonts w:ascii="宋体" w:hint="eastAsia"/>
          <w:b/>
          <w:bCs/>
          <w:szCs w:val="21"/>
          <w:lang w:val="zh-CN"/>
        </w:rPr>
      </w:pPr>
      <w:bookmarkStart w:id="30" w:name="_Toc407135285"/>
      <w:bookmarkStart w:id="31" w:name="_Toc83895643"/>
      <w:bookmarkStart w:id="32" w:name="_Toc256000132"/>
      <w:r>
        <w:rPr>
          <w:rFonts w:ascii="宋体"/>
          <w:b/>
          <w:bCs/>
          <w:szCs w:val="21"/>
          <w:lang w:val="zh-CN"/>
        </w:rPr>
        <w:t xml:space="preserve">2 </w:t>
      </w:r>
      <w:r>
        <w:rPr>
          <w:rFonts w:ascii="宋体" w:cs="黑体" w:hint="eastAsia"/>
          <w:b/>
          <w:bCs/>
          <w:szCs w:val="21"/>
          <w:lang w:val="zh-CN"/>
        </w:rPr>
        <w:t>预算金额编制说明</w:t>
      </w:r>
      <w:bookmarkEnd w:id="30"/>
      <w:bookmarkEnd w:id="31"/>
      <w:bookmarkEnd w:id="32"/>
    </w:p>
    <w:p>
      <w:pPr>
        <w:spacing w:line="360" w:lineRule="auto"/>
        <w:ind w:firstLineChars="200" w:firstLine="420"/>
        <w:rPr>
          <w:rFonts w:ascii="宋体" w:hint="eastAsia"/>
          <w:szCs w:val="21"/>
        </w:rPr>
      </w:pPr>
      <w:r>
        <w:rPr>
          <w:rFonts w:ascii="宋体"/>
          <w:szCs w:val="21"/>
        </w:rPr>
        <w:t xml:space="preserve">2.1 </w:t>
      </w:r>
      <w:r>
        <w:rPr>
          <w:rFonts w:ascii="宋体" w:cs="宋体" w:hint="eastAsia"/>
          <w:szCs w:val="21"/>
        </w:rPr>
        <w:t>预算金额编制依据：</w:t>
      </w:r>
    </w:p>
    <w:p>
      <w:pPr>
        <w:spacing w:line="360" w:lineRule="auto"/>
        <w:ind w:firstLineChars="200" w:firstLine="420"/>
        <w:rPr>
          <w:rFonts w:ascii="宋体" w:hint="eastAsia"/>
          <w:szCs w:val="21"/>
        </w:rPr>
      </w:pPr>
      <w:r>
        <w:rPr>
          <w:rFonts w:ascii="宋体" w:cs="宋体" w:hint="eastAsia"/>
          <w:szCs w:val="21"/>
        </w:rPr>
        <w:t>（</w:t>
      </w:r>
      <w:r>
        <w:rPr>
          <w:rFonts w:ascii="宋体"/>
          <w:szCs w:val="21"/>
        </w:rPr>
        <w:t>1</w:t>
      </w:r>
      <w:r>
        <w:rPr>
          <w:rFonts w:ascii="宋体" w:cs="宋体" w:hint="eastAsia"/>
          <w:szCs w:val="21"/>
        </w:rPr>
        <w:t>）《计价规范》及《计算规范》、</w:t>
      </w:r>
      <w:r>
        <w:rPr>
          <w:rFonts w:ascii="宋体" w:cs="宋体" w:hint="eastAsia"/>
          <w:kern w:val="0"/>
          <w:szCs w:val="21"/>
        </w:rPr>
        <w:t>《关于建筑业实施营业税改征增值税后广西壮族自治区建设工程计价依据调整的通知》（桂建标〔</w:t>
      </w:r>
      <w:r>
        <w:rPr>
          <w:rFonts w:ascii="宋体"/>
          <w:kern w:val="0"/>
          <w:szCs w:val="21"/>
        </w:rPr>
        <w:t>2016</w:t>
      </w:r>
      <w:r>
        <w:rPr>
          <w:rFonts w:ascii="宋体" w:cs="宋体" w:hint="eastAsia"/>
          <w:kern w:val="0"/>
          <w:szCs w:val="21"/>
        </w:rPr>
        <w:t>〕</w:t>
      </w:r>
      <w:r>
        <w:rPr>
          <w:rFonts w:ascii="宋体"/>
          <w:kern w:val="0"/>
          <w:szCs w:val="21"/>
        </w:rPr>
        <w:t>17</w:t>
      </w:r>
      <w:r>
        <w:rPr>
          <w:rFonts w:ascii="宋体" w:cs="宋体" w:hint="eastAsia"/>
          <w:kern w:val="0"/>
          <w:szCs w:val="21"/>
        </w:rPr>
        <w:t>号）等</w:t>
      </w:r>
      <w:r>
        <w:rPr>
          <w:rFonts w:ascii="宋体" w:cs="宋体" w:hint="eastAsia"/>
          <w:szCs w:val="21"/>
        </w:rPr>
        <w:t>；</w:t>
      </w:r>
    </w:p>
    <w:p>
      <w:pPr>
        <w:spacing w:line="360" w:lineRule="auto"/>
        <w:ind w:firstLineChars="200" w:firstLine="420"/>
        <w:rPr>
          <w:rFonts w:ascii="宋体" w:hint="eastAsia"/>
          <w:szCs w:val="21"/>
        </w:rPr>
      </w:pPr>
      <w:r>
        <w:rPr>
          <w:rFonts w:ascii="宋体" w:cs="宋体" w:hint="eastAsia"/>
          <w:szCs w:val="21"/>
        </w:rPr>
        <w:t>（</w:t>
      </w:r>
      <w:r>
        <w:rPr>
          <w:rFonts w:ascii="宋体"/>
          <w:szCs w:val="21"/>
        </w:rPr>
        <w:t>2</w:t>
      </w:r>
      <w:r>
        <w:rPr>
          <w:rFonts w:ascii="宋体" w:cs="宋体" w:hint="eastAsia"/>
          <w:szCs w:val="21"/>
        </w:rPr>
        <w:t>）自治区住房城乡建设行政主管部门颁发的计价定额及有关规定：</w:t>
      </w:r>
    </w:p>
    <w:p>
      <w:pPr>
        <w:spacing w:line="360" w:lineRule="auto"/>
        <w:rPr>
          <w:rFonts w:ascii="宋体" w:hint="eastAsia"/>
          <w:szCs w:val="21"/>
        </w:rPr>
      </w:pPr>
      <w:bookmarkStart w:id="33" w:name="EB96ffcbe9dff34f9e8584fb952ec18919"/>
      <w:r>
        <w:rPr>
          <w:rFonts w:ascii="宋体" w:hint="eastAsia"/>
          <w:szCs w:val="21"/>
        </w:rPr>
        <w:t>1.《建设工程工程量清单计价规范》(GB50500-2013)；</w:t>
      </w:r>
    </w:p>
    <w:p>
      <w:pPr>
        <w:spacing w:line="360" w:lineRule="auto"/>
        <w:rPr>
          <w:rFonts w:ascii="宋体" w:hint="eastAsia"/>
          <w:szCs w:val="21"/>
        </w:rPr>
      </w:pPr>
      <w:r>
        <w:rPr>
          <w:rFonts w:ascii="宋体" w:hint="eastAsia"/>
          <w:szCs w:val="21"/>
        </w:rPr>
        <w:t>2.《建设工程工程量清单计价规范GB50500-2013&lt;广西壮族自治区实施细则&gt;》；</w:t>
      </w:r>
    </w:p>
    <w:p>
      <w:pPr>
        <w:spacing w:line="360" w:lineRule="auto"/>
        <w:rPr>
          <w:rFonts w:ascii="宋体" w:hint="eastAsia"/>
          <w:szCs w:val="21"/>
        </w:rPr>
      </w:pPr>
      <w:r>
        <w:rPr>
          <w:rFonts w:ascii="宋体" w:hint="eastAsia"/>
          <w:szCs w:val="21"/>
        </w:rPr>
        <w:t>3.《建设工程工程量清单计价规范GB50854~50862-2013&lt;广西壮族自治区实施细则&gt;（修订本）》；</w:t>
      </w:r>
    </w:p>
    <w:p>
      <w:pPr>
        <w:spacing w:line="360" w:lineRule="auto"/>
        <w:rPr>
          <w:rFonts w:ascii="宋体" w:hint="eastAsia"/>
          <w:szCs w:val="21"/>
        </w:rPr>
      </w:pPr>
      <w:r>
        <w:rPr>
          <w:rFonts w:ascii="宋体" w:hint="eastAsia"/>
          <w:szCs w:val="21"/>
        </w:rPr>
        <w:t>4.2013年《广西壮族自治区建筑装饰装修工程消耗量定额》、2015年 《广西壮族自治区安装工程消量定额》、2022年 《广西壮族自治区市政工程消耗量定额》、2021年《广西壮族自治区园林绿化及仿古建筑工程消量定额》及以上消耗量定额相应配套的费用定额；</w:t>
      </w:r>
    </w:p>
    <w:p>
      <w:pPr>
        <w:spacing w:line="360" w:lineRule="auto"/>
        <w:rPr>
          <w:rFonts w:ascii="宋体" w:hint="eastAsia"/>
          <w:szCs w:val="21"/>
        </w:rPr>
      </w:pPr>
      <w:r>
        <w:rPr>
          <w:rFonts w:ascii="宋体" w:hint="eastAsia"/>
          <w:szCs w:val="21"/>
        </w:rPr>
        <w:t>5.桂建管[2008]37号文《关于建设工程工伤保险费计算规定的通知》；</w:t>
      </w:r>
    </w:p>
    <w:p>
      <w:pPr>
        <w:spacing w:line="360" w:lineRule="auto"/>
        <w:rPr>
          <w:rFonts w:ascii="宋体" w:hint="eastAsia"/>
          <w:szCs w:val="21"/>
        </w:rPr>
      </w:pPr>
      <w:r>
        <w:rPr>
          <w:rFonts w:ascii="宋体" w:hint="eastAsia"/>
          <w:szCs w:val="21"/>
        </w:rPr>
        <w:t>6.桂建标[2009]7号文《关于调整建设工程检验试验费和检验试验配合费计取方式的通知》；</w:t>
      </w:r>
    </w:p>
    <w:p>
      <w:pPr>
        <w:spacing w:line="360" w:lineRule="auto"/>
        <w:rPr>
          <w:rFonts w:ascii="宋体" w:hint="eastAsia"/>
          <w:szCs w:val="21"/>
        </w:rPr>
      </w:pPr>
      <w:r>
        <w:rPr>
          <w:rFonts w:ascii="宋体" w:hint="eastAsia"/>
          <w:szCs w:val="21"/>
        </w:rPr>
        <w:t>7.《广西壮族自治区人民政府关于印发广西壮族自治区建筑安装工程劳动保险费管理办法的通知》（桂政发〔2012〕42号）；</w:t>
      </w:r>
    </w:p>
    <w:p>
      <w:pPr>
        <w:spacing w:line="360" w:lineRule="auto"/>
        <w:rPr>
          <w:rFonts w:ascii="宋体" w:hint="eastAsia"/>
          <w:szCs w:val="21"/>
        </w:rPr>
      </w:pPr>
      <w:r>
        <w:rPr>
          <w:rFonts w:ascii="宋体" w:hint="eastAsia"/>
          <w:szCs w:val="21"/>
        </w:rPr>
        <w:t>8.自治区住房城乡建设厅关于颁布2016年《广西壮族自治区建设工程费用定额》的通知 （桂建标[2016]16号）；</w:t>
      </w:r>
    </w:p>
    <w:p>
      <w:pPr>
        <w:spacing w:line="360" w:lineRule="auto"/>
        <w:rPr>
          <w:rFonts w:ascii="宋体" w:hint="eastAsia"/>
          <w:szCs w:val="21"/>
        </w:rPr>
      </w:pPr>
      <w:r>
        <w:rPr>
          <w:rFonts w:ascii="宋体" w:hint="eastAsia"/>
          <w:szCs w:val="21"/>
        </w:rPr>
        <w:t>9.自治区住房城乡建设厅关于建筑业实施营业税改征增税税后广西壮族自治区建设工程计价依据调整的通知 （桂建标[2016]17号）；</w:t>
      </w:r>
    </w:p>
    <w:p>
      <w:pPr>
        <w:spacing w:line="360" w:lineRule="auto"/>
        <w:rPr>
          <w:rFonts w:ascii="宋体" w:hint="eastAsia"/>
          <w:szCs w:val="21"/>
        </w:rPr>
      </w:pPr>
      <w:r>
        <w:rPr>
          <w:rFonts w:ascii="宋体" w:hint="eastAsia"/>
          <w:szCs w:val="21"/>
        </w:rPr>
        <w:t>10.桂建标【2023】7号文《关于调整建设工程定额人工费及有关费率的通知》；</w:t>
      </w:r>
    </w:p>
    <w:p>
      <w:pPr>
        <w:spacing w:line="360" w:lineRule="auto"/>
        <w:rPr>
          <w:rFonts w:ascii="宋体" w:hint="eastAsia"/>
          <w:szCs w:val="21"/>
        </w:rPr>
      </w:pPr>
      <w:r>
        <w:rPr>
          <w:rFonts w:ascii="宋体" w:hint="eastAsia"/>
          <w:szCs w:val="21"/>
        </w:rPr>
        <w:t>11.根据桂建标（2019）12号文《关于调整建设工程计价增值税税率的通知》，增值税税率为9%。</w:t>
      </w:r>
      <w:bookmarkEnd w:id="33"/>
    </w:p>
    <w:p>
      <w:pPr>
        <w:spacing w:line="360" w:lineRule="auto"/>
        <w:ind w:firstLineChars="200" w:firstLine="420"/>
        <w:rPr>
          <w:rFonts w:ascii="宋体" w:eastAsia="宋体" w:hint="eastAsia"/>
          <w:szCs w:val="21"/>
          <w:lang w:val="en-US" w:eastAsia="zh-CN"/>
        </w:rPr>
      </w:pPr>
      <w:r>
        <w:rPr>
          <w:rFonts w:ascii="宋体" w:cs="宋体" w:hint="eastAsia"/>
          <w:szCs w:val="21"/>
        </w:rPr>
        <w:t>（</w:t>
      </w:r>
      <w:r>
        <w:rPr>
          <w:rFonts w:ascii="宋体"/>
          <w:szCs w:val="21"/>
        </w:rPr>
        <w:t>3</w:t>
      </w:r>
      <w:r>
        <w:rPr>
          <w:rFonts w:ascii="宋体" w:cs="宋体" w:hint="eastAsia"/>
          <w:szCs w:val="21"/>
        </w:rPr>
        <w:t>）建设工程设计文件及相关资料</w:t>
      </w:r>
      <w:r>
        <w:rPr>
          <w:rFonts w:ascii="宋体" w:cs="宋体" w:hint="eastAsia"/>
          <w:szCs w:val="21"/>
          <w:lang w:eastAsia="zh-CN"/>
        </w:rPr>
        <w:t>（</w:t>
      </w:r>
      <w:r>
        <w:rPr>
          <w:rFonts w:ascii="宋体" w:cs="宋体" w:hint="eastAsia"/>
          <w:szCs w:val="21"/>
          <w:lang w:val="en-US" w:eastAsia="zh-CN"/>
        </w:rPr>
        <w:t>如有</w:t>
      </w:r>
      <w:r>
        <w:rPr>
          <w:rFonts w:ascii="宋体" w:cs="宋体" w:hint="eastAsia"/>
          <w:szCs w:val="21"/>
          <w:lang w:eastAsia="zh-CN"/>
        </w:rPr>
        <w:t>）；</w:t>
      </w:r>
    </w:p>
    <w:p>
      <w:pPr>
        <w:spacing w:line="360" w:lineRule="auto"/>
        <w:ind w:firstLineChars="200" w:firstLine="420"/>
        <w:rPr>
          <w:rFonts w:ascii="宋体" w:hint="eastAsia"/>
          <w:szCs w:val="21"/>
        </w:rPr>
      </w:pPr>
      <w:r>
        <w:rPr>
          <w:rFonts w:ascii="宋体" w:cs="宋体" w:hint="eastAsia"/>
          <w:szCs w:val="21"/>
        </w:rPr>
        <w:t>（</w:t>
      </w:r>
      <w:r>
        <w:rPr>
          <w:rFonts w:ascii="宋体"/>
          <w:szCs w:val="21"/>
        </w:rPr>
        <w:t>4</w:t>
      </w:r>
      <w:r>
        <w:rPr>
          <w:rFonts w:ascii="宋体" w:cs="宋体" w:hint="eastAsia"/>
          <w:szCs w:val="21"/>
        </w:rPr>
        <w:t>）本工程磋商文件及工程量清单；</w:t>
      </w:r>
    </w:p>
    <w:p>
      <w:pPr>
        <w:spacing w:line="360" w:lineRule="auto"/>
        <w:ind w:firstLineChars="200" w:firstLine="420"/>
        <w:rPr>
          <w:rFonts w:ascii="宋体" w:hint="eastAsia"/>
          <w:szCs w:val="21"/>
        </w:rPr>
      </w:pPr>
      <w:r>
        <w:rPr>
          <w:rFonts w:ascii="宋体" w:cs="宋体" w:hint="eastAsia"/>
          <w:szCs w:val="21"/>
        </w:rPr>
        <w:t>（</w:t>
      </w:r>
      <w:r>
        <w:rPr>
          <w:rFonts w:ascii="宋体"/>
          <w:szCs w:val="21"/>
        </w:rPr>
        <w:t>5</w:t>
      </w:r>
      <w:r>
        <w:rPr>
          <w:rFonts w:ascii="宋体" w:cs="宋体" w:hint="eastAsia"/>
          <w:szCs w:val="21"/>
        </w:rPr>
        <w:t>）与建设项目相关的标准、规范、技术资料；</w:t>
      </w:r>
    </w:p>
    <w:p>
      <w:pPr>
        <w:spacing w:line="360" w:lineRule="auto"/>
        <w:ind w:firstLineChars="200" w:firstLine="420"/>
        <w:rPr>
          <w:rFonts w:ascii="宋体" w:hint="eastAsia"/>
          <w:szCs w:val="21"/>
        </w:rPr>
      </w:pPr>
      <w:r>
        <w:rPr>
          <w:rFonts w:ascii="宋体" w:cs="宋体" w:hint="eastAsia"/>
          <w:szCs w:val="21"/>
        </w:rPr>
        <w:t>（</w:t>
      </w:r>
      <w:r>
        <w:rPr>
          <w:rFonts w:ascii="宋体"/>
          <w:szCs w:val="21"/>
        </w:rPr>
        <w:t>6</w:t>
      </w:r>
      <w:r>
        <w:rPr>
          <w:rFonts w:ascii="宋体" w:cs="宋体" w:hint="eastAsia"/>
          <w:szCs w:val="21"/>
        </w:rPr>
        <w:t>）施工现场情况、工程特点及常规施工方案；</w:t>
      </w:r>
    </w:p>
    <w:p>
      <w:pPr>
        <w:spacing w:line="360" w:lineRule="auto"/>
        <w:ind w:firstLineChars="200" w:firstLine="420"/>
        <w:rPr>
          <w:rFonts w:ascii="宋体" w:hint="eastAsia"/>
          <w:szCs w:val="21"/>
        </w:rPr>
      </w:pPr>
      <w:r>
        <w:rPr>
          <w:rFonts w:ascii="宋体" w:cs="宋体" w:hint="eastAsia"/>
          <w:szCs w:val="21"/>
        </w:rPr>
        <w:t>（</w:t>
      </w:r>
      <w:r>
        <w:rPr>
          <w:rFonts w:ascii="宋体"/>
          <w:szCs w:val="21"/>
        </w:rPr>
        <w:t>7</w:t>
      </w:r>
      <w:r>
        <w:rPr>
          <w:rFonts w:ascii="宋体" w:cs="宋体" w:hint="eastAsia"/>
          <w:szCs w:val="21"/>
        </w:rPr>
        <w:t>）材料价格信息：材料价格主要按照崇左市建设工程造价管理机构发布的工程造价信息</w:t>
      </w:r>
      <w:r>
        <w:rPr>
          <w:rFonts w:ascii="宋体"/>
          <w:szCs w:val="21"/>
          <w:u w:val="single"/>
        </w:rPr>
        <w:t xml:space="preserve"> </w:t>
      </w:r>
      <w:bookmarkStart w:id="34" w:name="EB92be484da4504801a31cfb9e5b28b145"/>
      <w:r>
        <w:rPr>
          <w:rFonts w:ascii="宋体" w:hint="eastAsia"/>
          <w:szCs w:val="21"/>
          <w:u w:val="single"/>
        </w:rPr>
        <w:t>2025</w:t>
      </w:r>
      <w:bookmarkEnd w:id="34"/>
      <w:r>
        <w:rPr>
          <w:rFonts w:ascii="宋体" w:cs="宋体" w:hint="eastAsia"/>
          <w:szCs w:val="21"/>
        </w:rPr>
        <w:t>年第7期，不足部分参考市场定价。</w:t>
      </w:r>
    </w:p>
    <w:p>
      <w:pPr>
        <w:spacing w:line="360" w:lineRule="auto"/>
        <w:ind w:firstLineChars="200" w:firstLine="420"/>
        <w:rPr>
          <w:rFonts w:ascii="宋体" w:hint="eastAsia"/>
          <w:szCs w:val="21"/>
        </w:rPr>
      </w:pPr>
      <w:r>
        <w:rPr>
          <w:rFonts w:ascii="宋体"/>
          <w:szCs w:val="21"/>
        </w:rPr>
        <w:t xml:space="preserve">2.2 </w:t>
      </w:r>
      <w:r>
        <w:rPr>
          <w:rFonts w:ascii="宋体" w:cs="宋体" w:hint="eastAsia"/>
          <w:szCs w:val="21"/>
        </w:rPr>
        <w:t>分部分项及单价措施项目综合单价应包括磋商文件中采购人要求供应商所承担的风险内容及其范围（幅度）产生的风险费用。</w:t>
      </w:r>
    </w:p>
    <w:p>
      <w:pPr>
        <w:spacing w:line="360" w:lineRule="auto"/>
        <w:ind w:firstLine="420"/>
        <w:rPr>
          <w:rFonts w:ascii="宋体" w:hint="eastAsia"/>
          <w:szCs w:val="21"/>
        </w:rPr>
      </w:pPr>
      <w:r>
        <w:rPr>
          <w:rFonts w:ascii="宋体"/>
          <w:szCs w:val="21"/>
        </w:rPr>
        <w:t xml:space="preserve">2.3 </w:t>
      </w:r>
      <w:r>
        <w:rPr>
          <w:rFonts w:ascii="宋体" w:cs="宋体" w:hint="eastAsia"/>
          <w:szCs w:val="21"/>
        </w:rPr>
        <w:t>总价措施项目应根据拟定的磋商文件和常规施工方案按《计价规范》和《计算规范》规定编制。</w:t>
      </w:r>
    </w:p>
    <w:p>
      <w:pPr>
        <w:spacing w:line="360" w:lineRule="auto"/>
        <w:ind w:firstLineChars="200" w:firstLine="420"/>
        <w:rPr>
          <w:rFonts w:ascii="宋体" w:hint="eastAsia"/>
          <w:szCs w:val="21"/>
        </w:rPr>
      </w:pPr>
      <w:r>
        <w:rPr>
          <w:rFonts w:ascii="宋体"/>
          <w:szCs w:val="21"/>
        </w:rPr>
        <w:t xml:space="preserve">2.4 </w:t>
      </w:r>
      <w:r>
        <w:rPr>
          <w:rFonts w:ascii="宋体" w:cs="宋体" w:hint="eastAsia"/>
          <w:szCs w:val="21"/>
        </w:rPr>
        <w:t>其他项目费应按下列规定报价：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1</w:t>
      </w:r>
      <w:r>
        <w:rPr>
          <w:rFonts w:ascii="宋体" w:cs="宋体" w:hint="eastAsia"/>
          <w:szCs w:val="21"/>
        </w:rPr>
        <w:t>）暂列金额应按工程量清单中列出的金额填写；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2</w:t>
      </w:r>
      <w:r>
        <w:rPr>
          <w:rFonts w:ascii="宋体" w:cs="宋体" w:hint="eastAsia"/>
          <w:szCs w:val="21"/>
        </w:rPr>
        <w:t>）材料、工程设备暂估价应按工程量清单中列出的单价计入综合单价；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3</w:t>
      </w:r>
      <w:r>
        <w:rPr>
          <w:rFonts w:ascii="宋体" w:cs="宋体" w:hint="eastAsia"/>
          <w:szCs w:val="21"/>
        </w:rPr>
        <w:t>）专业工程暂估价应按工程量清单中列出的金额填写；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4</w:t>
      </w:r>
      <w:r>
        <w:rPr>
          <w:rFonts w:ascii="宋体" w:cs="宋体" w:hint="eastAsia"/>
          <w:szCs w:val="21"/>
        </w:rPr>
        <w:t>）计日工应按工程量清单中列出的项目和数量，根据工程特点和有关计价依据确定的综合单价计算；</w:t>
      </w:r>
    </w:p>
    <w:p>
      <w:pPr>
        <w:spacing w:line="360" w:lineRule="auto"/>
        <w:ind w:firstLineChars="200" w:firstLine="420"/>
        <w:rPr>
          <w:rFonts w:ascii="宋体" w:cs="宋体" w:hint="eastAsia"/>
          <w:szCs w:val="21"/>
        </w:rPr>
      </w:pPr>
      <w:r>
        <w:rPr>
          <w:rFonts w:ascii="宋体" w:cs="宋体" w:hint="eastAsia"/>
          <w:szCs w:val="21"/>
        </w:rPr>
        <w:t>（</w:t>
      </w:r>
      <w:r>
        <w:rPr>
          <w:rFonts w:ascii="宋体"/>
          <w:szCs w:val="21"/>
        </w:rPr>
        <w:t>5</w:t>
      </w:r>
      <w:r>
        <w:rPr>
          <w:rFonts w:ascii="宋体" w:cs="宋体" w:hint="eastAsia"/>
          <w:szCs w:val="21"/>
        </w:rPr>
        <w:t>）总承包服务费应根据工程量清单列出的内容和要求，按自治区住房城乡建设行政主管部门颁发的计价定额及有关规定计算。</w:t>
      </w:r>
    </w:p>
    <w:p>
      <w:pPr>
        <w:spacing w:line="360" w:lineRule="auto"/>
        <w:ind w:firstLineChars="200" w:firstLine="420"/>
        <w:rPr>
          <w:rFonts w:ascii="宋体" w:hint="eastAsia"/>
          <w:szCs w:val="21"/>
        </w:rPr>
      </w:pPr>
      <w:r>
        <w:rPr>
          <w:rFonts w:ascii="宋体" w:hint="eastAsia"/>
          <w:szCs w:val="21"/>
        </w:rPr>
        <w:t>（</w:t>
      </w:r>
      <w:r>
        <w:rPr>
          <w:rFonts w:ascii="宋体"/>
          <w:szCs w:val="21"/>
        </w:rPr>
        <w:t>6</w:t>
      </w:r>
      <w:r>
        <w:rPr>
          <w:rFonts w:ascii="宋体" w:hint="eastAsia"/>
          <w:szCs w:val="21"/>
        </w:rPr>
        <w:t>）对建设单位创建优质工程的，鼓励在预算金额和预算中按我区工程建设定额规定计列工程优质费，并明确工程优质费不可竞争。</w:t>
      </w:r>
    </w:p>
    <w:p>
      <w:pPr>
        <w:spacing w:line="360" w:lineRule="auto"/>
        <w:ind w:firstLineChars="200" w:firstLine="420"/>
        <w:rPr>
          <w:rFonts w:ascii="宋体" w:hint="eastAsia"/>
          <w:szCs w:val="21"/>
        </w:rPr>
      </w:pPr>
      <w:r>
        <w:rPr>
          <w:rFonts w:ascii="宋体"/>
          <w:szCs w:val="21"/>
        </w:rPr>
        <w:t xml:space="preserve">2.5 </w:t>
      </w:r>
      <w:r>
        <w:rPr>
          <w:rFonts w:ascii="宋体" w:cs="宋体" w:hint="eastAsia"/>
          <w:szCs w:val="21"/>
        </w:rPr>
        <w:t>规费和增值税应按规定确定，作为不可竞争费用。</w:t>
      </w:r>
    </w:p>
    <w:p>
      <w:pPr>
        <w:spacing w:line="360" w:lineRule="auto"/>
        <w:ind w:firstLine="420"/>
        <w:rPr>
          <w:rFonts w:ascii="宋体" w:hint="eastAsia"/>
          <w:szCs w:val="21"/>
        </w:rPr>
      </w:pPr>
      <w:r>
        <w:rPr>
          <w:rFonts w:ascii="宋体"/>
          <w:szCs w:val="21"/>
        </w:rPr>
        <w:t xml:space="preserve">2.6 </w:t>
      </w:r>
      <w:r>
        <w:rPr>
          <w:rFonts w:ascii="宋体" w:cs="宋体" w:hint="eastAsia"/>
          <w:szCs w:val="21"/>
        </w:rPr>
        <w:t>其它需要说明的问题：</w:t>
      </w:r>
    </w:p>
    <w:p>
      <w:pPr>
        <w:spacing w:line="360" w:lineRule="auto"/>
        <w:rPr>
          <w:rFonts w:ascii="宋体" w:hint="eastAsia"/>
          <w:szCs w:val="21"/>
        </w:rPr>
      </w:pPr>
      <w:bookmarkStart w:id="35" w:name="EB383a855369b7413c85d40ecd5c07f7b6"/>
      <w:r>
        <w:rPr>
          <w:rFonts w:ascii="宋体" w:hint="eastAsia"/>
          <w:szCs w:val="21"/>
        </w:rPr>
        <w:t>无</w:t>
      </w:r>
      <w:bookmarkEnd w:id="35"/>
    </w:p>
    <w:p>
      <w:pPr>
        <w:keepNext/>
        <w:keepLines/>
        <w:widowControl w:val="0"/>
        <w:spacing w:line="360" w:lineRule="auto"/>
        <w:outlineLvl w:val="1"/>
        <w:rPr>
          <w:rFonts w:ascii="宋体" w:hint="eastAsia"/>
          <w:b/>
          <w:bCs/>
          <w:szCs w:val="21"/>
          <w:lang w:val="zh-CN"/>
        </w:rPr>
      </w:pPr>
      <w:bookmarkStart w:id="36" w:name="_Toc256000133"/>
      <w:bookmarkStart w:id="37" w:name="_Toc407135286"/>
      <w:bookmarkStart w:id="38" w:name="_Toc83895644"/>
      <w:r>
        <w:rPr>
          <w:rFonts w:ascii="宋体"/>
          <w:b/>
          <w:bCs/>
          <w:szCs w:val="21"/>
          <w:lang w:val="zh-CN"/>
        </w:rPr>
        <w:t xml:space="preserve">3 </w:t>
      </w:r>
      <w:r>
        <w:rPr>
          <w:rFonts w:ascii="宋体" w:cs="黑体" w:hint="eastAsia"/>
          <w:b/>
          <w:bCs/>
          <w:szCs w:val="21"/>
          <w:lang w:val="zh-CN"/>
        </w:rPr>
        <w:t>响应报价（已标价工程量清单）编制说明</w:t>
      </w:r>
      <w:bookmarkEnd w:id="36"/>
      <w:bookmarkEnd w:id="37"/>
      <w:bookmarkEnd w:id="38"/>
    </w:p>
    <w:p>
      <w:pPr>
        <w:spacing w:line="360" w:lineRule="auto"/>
        <w:ind w:firstLineChars="200" w:firstLine="420"/>
        <w:rPr>
          <w:rFonts w:ascii="宋体" w:hint="eastAsia"/>
          <w:szCs w:val="21"/>
        </w:rPr>
      </w:pPr>
      <w:r>
        <w:rPr>
          <w:rFonts w:ascii="宋体"/>
          <w:szCs w:val="21"/>
        </w:rPr>
        <w:t xml:space="preserve">3.1 </w:t>
      </w:r>
      <w:r>
        <w:rPr>
          <w:rFonts w:ascii="宋体" w:cs="宋体" w:hint="eastAsia"/>
          <w:szCs w:val="21"/>
        </w:rPr>
        <w:t>供应商应依据磋商文件、工程量清单以及《计价规范》、《计算规范》自主报价，自主报价不得违反计价规范强制性条文规定。供应商不得采用总价让利或以百分比让利等形式进行报价，任何优惠（或降价、让利）均应反映在相应清单项目的综合单价中。同时，不得出现任意一项单价重大让利，不得以自有机械闲置、自有材料等不计成本为由低于工程成本报价。</w:t>
      </w:r>
    </w:p>
    <w:p>
      <w:pPr>
        <w:spacing w:line="360" w:lineRule="auto"/>
        <w:ind w:firstLineChars="200" w:firstLine="420"/>
        <w:rPr>
          <w:rFonts w:ascii="宋体" w:hint="eastAsia"/>
          <w:szCs w:val="21"/>
        </w:rPr>
      </w:pPr>
      <w:r>
        <w:rPr>
          <w:rFonts w:ascii="宋体"/>
          <w:szCs w:val="21"/>
        </w:rPr>
        <w:t xml:space="preserve">3.2 </w:t>
      </w:r>
      <w:r>
        <w:rPr>
          <w:rFonts w:ascii="宋体" w:cs="宋体" w:hint="eastAsia"/>
          <w:szCs w:val="21"/>
        </w:rPr>
        <w:t>供应商应按工程量清单填报价格。项目编码、项目名称、项目特征、计量单位、工程量必须与工程量清单一致，供应商不得对工程量清单项目进行增减调整。</w:t>
      </w:r>
    </w:p>
    <w:p>
      <w:pPr>
        <w:spacing w:line="360" w:lineRule="auto"/>
        <w:ind w:firstLineChars="200" w:firstLine="420"/>
        <w:rPr>
          <w:rFonts w:ascii="宋体" w:hint="eastAsia"/>
          <w:szCs w:val="21"/>
        </w:rPr>
      </w:pPr>
      <w:r>
        <w:rPr>
          <w:rFonts w:ascii="宋体"/>
          <w:szCs w:val="21"/>
        </w:rPr>
        <w:t xml:space="preserve">3.3 </w:t>
      </w:r>
      <w:r>
        <w:rPr>
          <w:rFonts w:ascii="宋体" w:cs="宋体" w:hint="eastAsia"/>
          <w:szCs w:val="21"/>
        </w:rPr>
        <w:t>综合单价中应包含磋商文件中划分的应由供应商承担的风险范围及其费用。</w:t>
      </w:r>
    </w:p>
    <w:p>
      <w:pPr>
        <w:spacing w:line="360" w:lineRule="auto"/>
        <w:ind w:firstLineChars="200" w:firstLine="420"/>
        <w:rPr>
          <w:rFonts w:ascii="宋体" w:hint="eastAsia"/>
          <w:szCs w:val="21"/>
        </w:rPr>
      </w:pPr>
      <w:r>
        <w:rPr>
          <w:rFonts w:ascii="宋体"/>
          <w:szCs w:val="21"/>
        </w:rPr>
        <w:t xml:space="preserve">3.4 </w:t>
      </w:r>
      <w:r>
        <w:rPr>
          <w:rFonts w:ascii="宋体" w:cs="宋体" w:hint="eastAsia"/>
          <w:szCs w:val="21"/>
        </w:rPr>
        <w:t>分部分项工程项目和单价措施项目，应根据磋商文件和工程量清单项目中的特征描述确定综合单价计算。如出现工程量清单特征描述与设计图纸不符时，供应商应以工程量清单的项目特征描述为准，确定响应报价的综合单价。</w:t>
      </w:r>
    </w:p>
    <w:p>
      <w:pPr>
        <w:spacing w:line="360" w:lineRule="auto"/>
        <w:ind w:firstLineChars="200" w:firstLine="420"/>
        <w:rPr>
          <w:rFonts w:ascii="宋体" w:hint="eastAsia"/>
          <w:szCs w:val="21"/>
        </w:rPr>
      </w:pPr>
      <w:r>
        <w:rPr>
          <w:rFonts w:ascii="宋体"/>
          <w:szCs w:val="21"/>
        </w:rPr>
        <w:t xml:space="preserve">3.5 </w:t>
      </w:r>
      <w:r>
        <w:rPr>
          <w:rFonts w:ascii="宋体" w:cs="宋体" w:hint="eastAsia"/>
          <w:szCs w:val="21"/>
        </w:rPr>
        <w:t>总价措施项目的金额应根据磋商文件及响应时拟定的施工组织设计或施工方案，按计价规范的规定自主确定。但安全文明施工费按国家、省级或行业建设主管部门的有关规定执行，作为不竞争费用单列。</w:t>
      </w:r>
    </w:p>
    <w:p>
      <w:pPr>
        <w:spacing w:line="360" w:lineRule="auto"/>
        <w:ind w:firstLineChars="200" w:firstLine="420"/>
        <w:rPr>
          <w:rFonts w:ascii="宋体" w:hint="eastAsia"/>
          <w:szCs w:val="21"/>
        </w:rPr>
      </w:pPr>
      <w:r>
        <w:rPr>
          <w:rFonts w:ascii="宋体"/>
          <w:szCs w:val="21"/>
        </w:rPr>
        <w:t xml:space="preserve">3.6 </w:t>
      </w:r>
      <w:r>
        <w:rPr>
          <w:rFonts w:ascii="宋体" w:cs="宋体" w:hint="eastAsia"/>
          <w:szCs w:val="21"/>
        </w:rPr>
        <w:t>其他项目费应按下列规定报价：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1</w:t>
      </w:r>
      <w:r>
        <w:rPr>
          <w:rFonts w:ascii="宋体" w:cs="宋体" w:hint="eastAsia"/>
          <w:szCs w:val="21"/>
        </w:rPr>
        <w:t>）暂列金额应按工程量清单中列出的金额填写；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2</w:t>
      </w:r>
      <w:r>
        <w:rPr>
          <w:rFonts w:ascii="宋体" w:cs="宋体" w:hint="eastAsia"/>
          <w:szCs w:val="21"/>
        </w:rPr>
        <w:t>）材料、工程设备暂估价应按工程量清单中列出的单价计入综合单价；</w:t>
      </w:r>
    </w:p>
    <w:p>
      <w:pPr>
        <w:spacing w:line="360" w:lineRule="auto"/>
        <w:ind w:firstLineChars="200" w:firstLine="420"/>
        <w:rPr>
          <w:rFonts w:ascii="宋体" w:hint="eastAsia"/>
          <w:szCs w:val="21"/>
        </w:rPr>
      </w:pPr>
      <w:r>
        <w:rPr>
          <w:rFonts w:ascii="宋体" w:cs="宋体" w:hint="eastAsia"/>
          <w:szCs w:val="21"/>
        </w:rPr>
        <w:t>（</w:t>
      </w:r>
      <w:r>
        <w:rPr>
          <w:rFonts w:ascii="宋体"/>
          <w:szCs w:val="21"/>
        </w:rPr>
        <w:t>3</w:t>
      </w:r>
      <w:r>
        <w:rPr>
          <w:rFonts w:ascii="宋体" w:cs="宋体" w:hint="eastAsia"/>
          <w:szCs w:val="21"/>
        </w:rPr>
        <w:t>）专业工程暂估价应按工程量清单中列出的金额填写；</w:t>
      </w:r>
    </w:p>
    <w:p>
      <w:pPr>
        <w:spacing w:line="360" w:lineRule="auto"/>
        <w:ind w:firstLineChars="200" w:firstLine="420"/>
        <w:rPr>
          <w:rFonts w:ascii="宋体" w:hint="eastAsia"/>
          <w:szCs w:val="21"/>
        </w:rPr>
      </w:pPr>
      <w:r>
        <w:rPr>
          <w:rFonts w:ascii="宋体" w:cs="宋体" w:hint="eastAsia"/>
          <w:szCs w:val="21"/>
        </w:rPr>
        <w:t>（</w:t>
      </w:r>
      <w:r>
        <w:rPr>
          <w:rFonts w:ascii="宋体"/>
          <w:szCs w:val="21"/>
        </w:rPr>
        <w:t>4</w:t>
      </w:r>
      <w:r>
        <w:rPr>
          <w:rFonts w:ascii="宋体" w:cs="宋体" w:hint="eastAsia"/>
          <w:szCs w:val="21"/>
        </w:rPr>
        <w:t>）计日工应按工程量清单中列出的项目和估算数量，自主确定综合单价并计算计日工总额；计日工单价均不含规费和税金；</w:t>
      </w:r>
    </w:p>
    <w:p>
      <w:pPr>
        <w:spacing w:line="360" w:lineRule="auto"/>
        <w:ind w:firstLineChars="200" w:firstLine="420"/>
        <w:rPr>
          <w:rFonts w:ascii="宋体" w:cs="宋体" w:hint="eastAsia"/>
          <w:szCs w:val="21"/>
        </w:rPr>
      </w:pPr>
      <w:r>
        <w:rPr>
          <w:rFonts w:ascii="宋体" w:cs="宋体" w:hint="eastAsia"/>
          <w:szCs w:val="21"/>
        </w:rPr>
        <w:t>（</w:t>
      </w:r>
      <w:r>
        <w:rPr>
          <w:rFonts w:ascii="宋体"/>
          <w:szCs w:val="21"/>
        </w:rPr>
        <w:t>5</w:t>
      </w:r>
      <w:r>
        <w:rPr>
          <w:rFonts w:ascii="宋体" w:cs="宋体" w:hint="eastAsia"/>
          <w:szCs w:val="21"/>
        </w:rPr>
        <w:t>）总承包服务费应根据工程量清单中列出的内容和供应材料、设备情况，按照采购人提出的协调、配合与服务要求和施工现场管理需要自主确定。</w:t>
      </w:r>
    </w:p>
    <w:p>
      <w:pPr>
        <w:spacing w:line="360" w:lineRule="auto"/>
        <w:ind w:firstLineChars="200" w:firstLine="420"/>
        <w:rPr>
          <w:rFonts w:ascii="宋体" w:hint="eastAsia"/>
          <w:szCs w:val="21"/>
        </w:rPr>
      </w:pPr>
      <w:r>
        <w:rPr>
          <w:rFonts w:ascii="宋体" w:hint="eastAsia"/>
          <w:szCs w:val="21"/>
        </w:rPr>
        <w:t>（</w:t>
      </w:r>
      <w:r>
        <w:rPr>
          <w:rFonts w:ascii="宋体"/>
          <w:szCs w:val="21"/>
        </w:rPr>
        <w:t>6</w:t>
      </w:r>
      <w:r>
        <w:rPr>
          <w:rFonts w:ascii="宋体" w:hint="eastAsia"/>
          <w:szCs w:val="21"/>
        </w:rPr>
        <w:t>）对建设单位创建优质工程的，鼓励在预算金额和预算中按我区工程建设定额规定计列工程优质费，并明确工程优质费不可竞争。</w:t>
      </w:r>
    </w:p>
    <w:p>
      <w:pPr>
        <w:spacing w:line="360" w:lineRule="auto"/>
        <w:ind w:firstLineChars="200" w:firstLine="420"/>
        <w:rPr>
          <w:rFonts w:ascii="宋体" w:hint="eastAsia"/>
          <w:szCs w:val="21"/>
        </w:rPr>
      </w:pPr>
      <w:r>
        <w:rPr>
          <w:rFonts w:ascii="宋体"/>
          <w:szCs w:val="21"/>
        </w:rPr>
        <w:t xml:space="preserve">3.7 </w:t>
      </w:r>
      <w:r>
        <w:rPr>
          <w:rFonts w:ascii="宋体" w:cs="宋体" w:hint="eastAsia"/>
          <w:szCs w:val="21"/>
        </w:rPr>
        <w:t>规费和增值税应按规定确定，作为不可竞争费用。</w:t>
      </w:r>
    </w:p>
    <w:p>
      <w:pPr>
        <w:spacing w:line="360" w:lineRule="auto"/>
        <w:ind w:firstLineChars="200" w:firstLine="420"/>
        <w:rPr>
          <w:rFonts w:ascii="宋体" w:hint="eastAsia"/>
          <w:szCs w:val="21"/>
        </w:rPr>
      </w:pPr>
      <w:r>
        <w:rPr>
          <w:rFonts w:ascii="宋体"/>
          <w:szCs w:val="21"/>
        </w:rPr>
        <w:t xml:space="preserve">3.8 </w:t>
      </w:r>
      <w:r>
        <w:rPr>
          <w:rFonts w:ascii="宋体" w:cs="宋体" w:hint="eastAsia"/>
          <w:szCs w:val="21"/>
        </w:rPr>
        <w:t>工程量清单与计价表中列明的所有需要填写的单价和合价的项目，供应商均应填写且只允许有一个报价。未填写单价和合价的项目，视为此项费用已包含在已标价工程量清单中其他项目的单价和合价之中。竣工结算时，此项目不得重新组价予以调整。</w:t>
      </w:r>
    </w:p>
    <w:p>
      <w:pPr>
        <w:spacing w:line="360" w:lineRule="auto"/>
        <w:ind w:firstLineChars="200" w:firstLine="420"/>
        <w:rPr>
          <w:rFonts w:ascii="宋体" w:hint="eastAsia"/>
          <w:szCs w:val="21"/>
        </w:rPr>
      </w:pPr>
      <w:r>
        <w:rPr>
          <w:rFonts w:ascii="宋体"/>
          <w:szCs w:val="21"/>
        </w:rPr>
        <w:t xml:space="preserve">3.9 </w:t>
      </w:r>
      <w:r>
        <w:rPr>
          <w:rFonts w:ascii="宋体" w:cs="宋体" w:hint="eastAsia"/>
          <w:szCs w:val="21"/>
        </w:rPr>
        <w:t>响应总价应当与分部分项工程费、措施项目费、其他项目费和规费、增值税的合计金额一致。</w:t>
      </w:r>
    </w:p>
    <w:p>
      <w:pPr>
        <w:spacing w:line="360" w:lineRule="auto"/>
        <w:ind w:firstLineChars="200" w:firstLine="420"/>
        <w:rPr>
          <w:rFonts w:ascii="宋体" w:hint="eastAsia"/>
          <w:szCs w:val="21"/>
        </w:rPr>
      </w:pPr>
      <w:r>
        <w:rPr>
          <w:rFonts w:ascii="宋体"/>
          <w:szCs w:val="21"/>
        </w:rPr>
        <w:t>3.1</w:t>
      </w:r>
      <w:r>
        <w:rPr>
          <w:rFonts w:ascii="宋体" w:hint="eastAsia"/>
          <w:szCs w:val="21"/>
        </w:rPr>
        <w:t>0</w:t>
      </w:r>
      <w:r>
        <w:rPr>
          <w:rFonts w:ascii="宋体"/>
          <w:szCs w:val="21"/>
        </w:rPr>
        <w:t xml:space="preserve"> </w:t>
      </w:r>
      <w:r>
        <w:rPr>
          <w:rFonts w:ascii="宋体" w:cs="宋体" w:hint="eastAsia"/>
          <w:szCs w:val="21"/>
        </w:rPr>
        <w:t>供应商应按《允许调整主要材料和工程设备一览表》的内容填报，不得擅自调整材料和设备名称型号规格、单位、风险系数、基准单价。</w:t>
      </w:r>
    </w:p>
    <w:p>
      <w:pPr>
        <w:spacing w:line="360" w:lineRule="auto"/>
        <w:ind w:firstLineChars="200" w:firstLine="420"/>
        <w:rPr>
          <w:rFonts w:ascii="宋体" w:hint="eastAsia"/>
          <w:szCs w:val="21"/>
        </w:rPr>
      </w:pPr>
      <w:r>
        <w:rPr>
          <w:rFonts w:ascii="宋体"/>
          <w:szCs w:val="21"/>
        </w:rPr>
        <w:t>3.1</w:t>
      </w:r>
      <w:r>
        <w:rPr>
          <w:rFonts w:ascii="宋体" w:hint="eastAsia"/>
          <w:szCs w:val="21"/>
        </w:rPr>
        <w:t>1</w:t>
      </w:r>
      <w:r>
        <w:rPr>
          <w:rFonts w:ascii="宋体" w:cs="宋体" w:hint="eastAsia"/>
          <w:szCs w:val="21"/>
        </w:rPr>
        <w:t>响应报价表格按本工程工程量清单表格要求填写，并应按磋商文件的要求，附上《工程量清单综合单价分析表》（表</w:t>
      </w:r>
      <w:r>
        <w:rPr>
          <w:rFonts w:ascii="宋体"/>
          <w:szCs w:val="21"/>
        </w:rPr>
        <w:t>-09</w:t>
      </w:r>
      <w:r>
        <w:rPr>
          <w:rFonts w:ascii="宋体" w:cs="宋体" w:hint="eastAsia"/>
          <w:szCs w:val="21"/>
        </w:rPr>
        <w:t>）和《主要清单项目工料机分析表》（表</w:t>
      </w:r>
      <w:r>
        <w:rPr>
          <w:rFonts w:ascii="宋体"/>
          <w:szCs w:val="21"/>
        </w:rPr>
        <w:t>-10</w:t>
      </w:r>
      <w:r>
        <w:rPr>
          <w:rFonts w:ascii="宋体" w:cs="宋体" w:hint="eastAsia"/>
          <w:szCs w:val="21"/>
        </w:rPr>
        <w:t>）。</w:t>
      </w:r>
    </w:p>
    <w:p>
      <w:pPr>
        <w:spacing w:line="360" w:lineRule="auto"/>
        <w:ind w:firstLineChars="200" w:firstLine="420"/>
        <w:rPr>
          <w:rFonts w:ascii="宋体" w:cs="宋体" w:hint="eastAsia"/>
          <w:szCs w:val="21"/>
        </w:rPr>
      </w:pPr>
      <w:r>
        <w:rPr>
          <w:rFonts w:ascii="宋体" w:cs="宋体" w:hint="eastAsia"/>
          <w:szCs w:val="21"/>
        </w:rPr>
        <w:t>未尽事宜详见本工程工程量清单、预算金额编制说明以及现行《计价规范》等有关规定执行。</w:t>
      </w:r>
    </w:p>
    <w:p>
      <w:pPr>
        <w:spacing w:line="360" w:lineRule="auto"/>
        <w:ind w:firstLineChars="200" w:firstLine="420"/>
        <w:rPr>
          <w:rFonts w:ascii="宋体" w:cs="宋体" w:hint="eastAsia"/>
          <w:szCs w:val="21"/>
        </w:rPr>
      </w:pPr>
      <w:r>
        <w:rPr>
          <w:rFonts w:ascii="宋体" w:cs="宋体" w:hint="eastAsia"/>
          <w:kern w:val="0"/>
          <w:szCs w:val="21"/>
        </w:rPr>
        <w:t>注：因</w:t>
      </w:r>
      <w:r>
        <w:rPr>
          <w:rFonts w:ascii="宋体" w:cs="宋体"/>
          <w:kern w:val="0"/>
          <w:szCs w:val="21"/>
        </w:rPr>
        <w:t>2021</w:t>
      </w:r>
      <w:r>
        <w:rPr>
          <w:rFonts w:ascii="宋体" w:cs="宋体" w:hint="eastAsia"/>
          <w:kern w:val="0"/>
          <w:szCs w:val="21"/>
        </w:rPr>
        <w:t>年《广西壮族自治区园林绿化及仿古建筑工程费用定额》采用全费用综合单价形式，故园林绿化及仿古建筑工程的工程量清单及计价</w:t>
      </w:r>
      <w:r>
        <w:rPr>
          <w:rFonts w:ascii="宋体" w:cs="黑体" w:hint="eastAsia"/>
          <w:szCs w:val="21"/>
        </w:rPr>
        <w:t>采用</w:t>
      </w:r>
      <w:r>
        <w:rPr>
          <w:rFonts w:ascii="宋体" w:cs="宋体" w:hint="eastAsia"/>
          <w:kern w:val="0"/>
          <w:szCs w:val="21"/>
        </w:rPr>
        <w:t>《自治区住房和城乡建设厅关于建设工程造价改革试点项目招投标及计价规定调整的通知》（桂建标〔</w:t>
      </w:r>
      <w:r>
        <w:rPr>
          <w:rFonts w:ascii="宋体" w:cs="宋体"/>
          <w:kern w:val="0"/>
          <w:szCs w:val="21"/>
        </w:rPr>
        <w:t>2021</w:t>
      </w:r>
      <w:r>
        <w:rPr>
          <w:rFonts w:ascii="宋体" w:cs="宋体" w:hint="eastAsia"/>
          <w:kern w:val="0"/>
          <w:szCs w:val="21"/>
        </w:rPr>
        <w:t>〕</w:t>
      </w:r>
      <w:r>
        <w:rPr>
          <w:rFonts w:ascii="宋体" w:cs="宋体"/>
          <w:kern w:val="0"/>
          <w:szCs w:val="21"/>
        </w:rPr>
        <w:t>6</w:t>
      </w:r>
      <w:r>
        <w:rPr>
          <w:rFonts w:ascii="宋体" w:cs="宋体" w:hint="eastAsia"/>
          <w:kern w:val="0"/>
          <w:szCs w:val="21"/>
        </w:rPr>
        <w:t>号）中附件</w:t>
      </w:r>
      <w:r>
        <w:rPr>
          <w:rFonts w:ascii="宋体" w:cs="宋体"/>
          <w:kern w:val="0"/>
          <w:szCs w:val="21"/>
        </w:rPr>
        <w:t>1</w:t>
      </w:r>
      <w:r>
        <w:rPr>
          <w:rFonts w:ascii="宋体" w:cs="宋体" w:hint="eastAsia"/>
          <w:kern w:val="0"/>
          <w:szCs w:val="21"/>
        </w:rPr>
        <w:t>《建设工程工程量清单计价规范（</w:t>
      </w:r>
      <w:r>
        <w:rPr>
          <w:rFonts w:ascii="宋体" w:cs="宋体"/>
          <w:kern w:val="0"/>
          <w:szCs w:val="21"/>
        </w:rPr>
        <w:t>GB50500-2013</w:t>
      </w:r>
      <w:r>
        <w:rPr>
          <w:rFonts w:ascii="宋体" w:cs="宋体" w:hint="eastAsia"/>
          <w:kern w:val="0"/>
          <w:szCs w:val="21"/>
        </w:rPr>
        <w:t>）广西壮族自治区实施细则》（适用于工程造价改革试点项目）相关表格，具体以采购人另册发放的工程量清单及相关说明为准。</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二、危险性较大的分部分项工程清单（如有）</w:t>
      </w:r>
    </w:p>
    <w:p>
      <w:pPr>
        <w:spacing w:line="312" w:lineRule="auto"/>
        <w:ind w:firstLineChars="200" w:firstLine="420"/>
        <w:jc w:val="left"/>
        <w:rPr>
          <w:bCs/>
          <w:kern w:val="0"/>
          <w:szCs w:val="21"/>
        </w:rPr>
      </w:pPr>
      <w:r>
        <w:rPr>
          <w:bCs/>
          <w:kern w:val="0"/>
          <w:szCs w:val="21"/>
        </w:rPr>
        <w:t>本</w:t>
      </w:r>
      <w:r>
        <w:rPr>
          <w:rFonts w:hint="eastAsia"/>
          <w:bCs/>
          <w:kern w:val="0"/>
          <w:szCs w:val="21"/>
        </w:rPr>
        <w:t>部分</w:t>
      </w:r>
      <w:r>
        <w:rPr>
          <w:bCs/>
          <w:kern w:val="0"/>
          <w:szCs w:val="21"/>
        </w:rPr>
        <w:t>由</w:t>
      </w:r>
      <w:r>
        <w:rPr>
          <w:rFonts w:hint="eastAsia"/>
          <w:bCs/>
          <w:kern w:val="0"/>
          <w:szCs w:val="21"/>
        </w:rPr>
        <w:t>采购</w:t>
      </w:r>
      <w:r>
        <w:rPr>
          <w:bCs/>
          <w:kern w:val="0"/>
          <w:szCs w:val="21"/>
        </w:rPr>
        <w:t>人根据国家行业和地方现行标准、规范和规程等</w:t>
      </w:r>
      <w:r>
        <w:rPr>
          <w:rFonts w:hint="eastAsia"/>
          <w:bCs/>
          <w:kern w:val="0"/>
          <w:szCs w:val="21"/>
        </w:rPr>
        <w:t>，以及项目具体情况</w:t>
      </w:r>
      <w:r>
        <w:rPr>
          <w:bCs/>
          <w:kern w:val="0"/>
          <w:szCs w:val="21"/>
        </w:rPr>
        <w:t>摘录</w:t>
      </w:r>
      <w:r>
        <w:rPr>
          <w:rFonts w:hint="eastAsia"/>
          <w:bCs/>
          <w:kern w:val="0"/>
          <w:szCs w:val="21"/>
        </w:rPr>
        <w:t>。</w:t>
      </w:r>
    </w:p>
    <w:p>
      <w:pPr>
        <w:spacing w:line="360" w:lineRule="auto"/>
        <w:ind w:firstLineChars="200" w:firstLine="420"/>
        <w:rPr>
          <w:rFonts w:cs="宋体" w:hint="eastAsia"/>
        </w:rPr>
      </w:pPr>
      <w:r>
        <w:rPr>
          <w:rFonts w:ascii="宋体" w:cs="宋体" w:hint="eastAsia"/>
        </w:rPr>
        <w:t>《危险性较大的分部分项工程安全管理规定》（建设部令第37号）</w:t>
      </w:r>
      <w:r>
        <w:rPr>
          <w:rFonts w:ascii="宋体" w:cs="宋体" w:hint="eastAsia"/>
          <w:szCs w:val="22"/>
        </w:rPr>
        <w:t>2019年修订版</w:t>
      </w:r>
      <w:r>
        <w:rPr>
          <w:rFonts w:ascii="宋体" w:cs="宋体" w:hint="eastAsia"/>
        </w:rPr>
        <w:t>以及《住房城乡建设部办公厅关于实施&lt;危险性较大的分部分项工程安全管理规定&gt;有关问题的通知》（建办质〔</w:t>
      </w:r>
      <w:r>
        <w:rPr>
          <w:rFonts w:ascii="宋体" w:cs="宋体"/>
        </w:rPr>
        <w:t>2018〕31号</w:t>
      </w:r>
      <w:r>
        <w:rPr>
          <w:rFonts w:ascii="宋体" w:cs="宋体" w:hint="eastAsia"/>
        </w:rPr>
        <w:t>）。</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三、</w:t>
      </w:r>
      <w:r>
        <w:rPr>
          <w:rFonts w:ascii="黑体" w:eastAsia="黑体" w:cs="Arial"/>
          <w:b/>
          <w:kern w:val="0"/>
          <w:sz w:val="28"/>
          <w:szCs w:val="28"/>
        </w:rPr>
        <w:t>图纸</w:t>
      </w:r>
    </w:p>
    <w:p>
      <w:pPr>
        <w:spacing w:line="312" w:lineRule="auto"/>
        <w:ind w:firstLineChars="200" w:firstLine="420"/>
        <w:jc w:val="left"/>
        <w:rPr>
          <w:bCs/>
          <w:kern w:val="0"/>
          <w:szCs w:val="21"/>
        </w:rPr>
      </w:pPr>
      <w:r>
        <w:rPr>
          <w:rFonts w:hint="eastAsia"/>
          <w:bCs/>
          <w:kern w:val="0"/>
          <w:szCs w:val="21"/>
        </w:rPr>
        <w:t>图纸详见本采购文件附件。</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四、技术</w:t>
      </w:r>
      <w:r>
        <w:rPr>
          <w:rFonts w:ascii="黑体" w:eastAsia="黑体" w:cs="Arial"/>
          <w:b/>
          <w:kern w:val="0"/>
          <w:sz w:val="28"/>
          <w:szCs w:val="28"/>
        </w:rPr>
        <w:t>标准和要求</w:t>
      </w:r>
    </w:p>
    <w:p>
      <w:pPr>
        <w:spacing w:line="312" w:lineRule="auto"/>
        <w:ind w:firstLineChars="200" w:firstLine="420"/>
        <w:jc w:val="left"/>
        <w:rPr>
          <w:bCs/>
          <w:kern w:val="0"/>
          <w:szCs w:val="21"/>
        </w:rPr>
      </w:pPr>
      <w:r>
        <w:rPr>
          <w:bCs/>
          <w:kern w:val="0"/>
          <w:szCs w:val="21"/>
        </w:rPr>
        <w:t>本</w:t>
      </w:r>
      <w:r>
        <w:rPr>
          <w:rFonts w:hint="eastAsia"/>
          <w:bCs/>
          <w:kern w:val="0"/>
          <w:szCs w:val="21"/>
        </w:rPr>
        <w:t>部分</w:t>
      </w:r>
      <w:r>
        <w:rPr>
          <w:bCs/>
          <w:kern w:val="0"/>
          <w:szCs w:val="21"/>
        </w:rPr>
        <w:t>由</w:t>
      </w:r>
      <w:r>
        <w:rPr>
          <w:rFonts w:hint="eastAsia"/>
          <w:bCs/>
          <w:kern w:val="0"/>
          <w:szCs w:val="21"/>
        </w:rPr>
        <w:t>采购</w:t>
      </w:r>
      <w:r>
        <w:rPr>
          <w:bCs/>
          <w:kern w:val="0"/>
          <w:szCs w:val="21"/>
        </w:rPr>
        <w:t>人根据国家行业和地方现行标准、规范和规程等</w:t>
      </w:r>
      <w:r>
        <w:rPr>
          <w:rFonts w:hint="eastAsia"/>
          <w:bCs/>
          <w:kern w:val="0"/>
          <w:szCs w:val="21"/>
        </w:rPr>
        <w:t>，以及项目具体情况</w:t>
      </w:r>
      <w:r>
        <w:rPr>
          <w:bCs/>
          <w:kern w:val="0"/>
          <w:szCs w:val="21"/>
        </w:rPr>
        <w:t>摘录</w:t>
      </w:r>
      <w:r>
        <w:rPr>
          <w:rFonts w:hint="eastAsia"/>
          <w:bCs/>
          <w:kern w:val="0"/>
          <w:szCs w:val="21"/>
        </w:rPr>
        <w:t>。</w:t>
      </w:r>
    </w:p>
    <w:p>
      <w:pPr>
        <w:spacing w:line="312" w:lineRule="auto"/>
        <w:ind w:firstLineChars="200" w:firstLine="560"/>
        <w:jc w:val="left"/>
        <w:outlineLvl w:val="1"/>
        <w:rPr>
          <w:rFonts w:ascii="黑体" w:eastAsia="黑体" w:cs="Arial" w:hint="eastAsia"/>
          <w:b/>
          <w:kern w:val="0"/>
          <w:sz w:val="28"/>
          <w:szCs w:val="28"/>
        </w:rPr>
      </w:pPr>
      <w:bookmarkStart w:id="39" w:name="_Hlk101188646"/>
      <w:r>
        <w:rPr>
          <w:rFonts w:ascii="黑体" w:eastAsia="黑体" w:cs="Arial" w:hint="eastAsia"/>
          <w:b/>
          <w:kern w:val="0"/>
          <w:sz w:val="28"/>
          <w:szCs w:val="28"/>
        </w:rPr>
        <w:t>五、本项目标的所属行业</w:t>
      </w:r>
    </w:p>
    <w:p>
      <w:pPr>
        <w:spacing w:line="312" w:lineRule="auto"/>
        <w:ind w:firstLineChars="200" w:firstLine="420"/>
        <w:jc w:val="left"/>
        <w:rPr>
          <w:bCs/>
          <w:kern w:val="0"/>
          <w:szCs w:val="21"/>
        </w:rPr>
      </w:pPr>
      <w:bookmarkStart w:id="40" w:name="_Hlk74905748"/>
      <w:r>
        <w:rPr>
          <w:rFonts w:hint="eastAsia"/>
          <w:bCs/>
          <w:kern w:val="0"/>
          <w:szCs w:val="21"/>
        </w:rPr>
        <w:t>本项目所属行业建筑业</w:t>
      </w:r>
      <w:bookmarkEnd w:id="40"/>
      <w:r>
        <w:rPr>
          <w:rFonts w:hint="eastAsia"/>
          <w:bCs/>
          <w:kern w:val="0"/>
          <w:szCs w:val="21"/>
        </w:rPr>
        <w:t>。</w:t>
      </w:r>
    </w:p>
    <w:p>
      <w:pPr>
        <w:spacing w:line="312" w:lineRule="auto"/>
        <w:ind w:firstLineChars="200" w:firstLine="560"/>
        <w:jc w:val="left"/>
        <w:outlineLvl w:val="1"/>
        <w:rPr>
          <w:rFonts w:ascii="黑体" w:eastAsia="黑体" w:cs="Arial" w:hint="eastAsia"/>
          <w:b/>
          <w:kern w:val="0"/>
          <w:sz w:val="28"/>
          <w:szCs w:val="28"/>
        </w:rPr>
      </w:pPr>
      <w:r>
        <w:rPr>
          <w:rFonts w:ascii="黑体" w:eastAsia="黑体" w:cs="Arial" w:hint="eastAsia"/>
          <w:b/>
          <w:kern w:val="0"/>
          <w:sz w:val="28"/>
          <w:szCs w:val="28"/>
        </w:rPr>
        <w:t>六、其他要求</w:t>
      </w:r>
    </w:p>
    <w:p>
      <w:pPr>
        <w:spacing w:line="312" w:lineRule="auto"/>
        <w:ind w:firstLineChars="200" w:firstLine="420"/>
        <w:jc w:val="left"/>
        <w:rPr>
          <w:bCs/>
          <w:kern w:val="0"/>
          <w:szCs w:val="21"/>
        </w:rPr>
      </w:pPr>
      <w:r>
        <w:rPr>
          <w:rFonts w:hint="eastAsia"/>
          <w:bCs/>
          <w:kern w:val="0"/>
          <w:szCs w:val="21"/>
        </w:rPr>
        <w:t>1.质量要求：符合国家、行业和项目本地市有关施工质量验收规范、技术规范、技术标准、规程、文件等相关规定及本工程施工图设计文件要求，并验收合格。</w:t>
      </w:r>
    </w:p>
    <w:p>
      <w:pPr>
        <w:spacing w:line="312" w:lineRule="auto"/>
        <w:ind w:firstLineChars="200" w:firstLine="420"/>
        <w:jc w:val="left"/>
        <w:rPr>
          <w:bCs/>
          <w:kern w:val="0"/>
          <w:szCs w:val="21"/>
        </w:rPr>
      </w:pPr>
      <w:r>
        <w:rPr>
          <w:rFonts w:hint="eastAsia"/>
          <w:bCs/>
          <w:kern w:val="0"/>
          <w:szCs w:val="21"/>
        </w:rPr>
        <w:t>2.工期：</w:t>
      </w:r>
      <w:r>
        <w:rPr>
          <w:rFonts w:hint="eastAsia"/>
          <w:bCs/>
          <w:kern w:val="0"/>
          <w:szCs w:val="21"/>
          <w:lang w:val="en-US" w:eastAsia="zh-CN"/>
        </w:rPr>
        <w:t>60</w:t>
      </w:r>
      <w:r>
        <w:rPr>
          <w:rFonts w:hint="eastAsia"/>
          <w:bCs/>
          <w:kern w:val="0"/>
          <w:szCs w:val="21"/>
        </w:rPr>
        <w:t>日历天。</w:t>
      </w:r>
    </w:p>
    <w:p>
      <w:pPr>
        <w:spacing w:line="312" w:lineRule="auto"/>
        <w:ind w:firstLineChars="200" w:firstLine="420"/>
        <w:jc w:val="left"/>
        <w:rPr>
          <w:bCs/>
          <w:kern w:val="0"/>
          <w:szCs w:val="21"/>
        </w:rPr>
      </w:pPr>
    </w:p>
    <w:p>
      <w:pPr>
        <w:spacing w:line="528" w:lineRule="exact"/>
        <w:ind w:firstLineChars="100" w:firstLine="210"/>
        <w:rPr>
          <w:sz w:val="28"/>
          <w:szCs w:val="28"/>
        </w:rPr>
      </w:pPr>
      <w:r>
        <w:rPr>
          <w:bCs/>
          <w:kern w:val="0"/>
          <w:szCs w:val="21"/>
        </w:rPr>
        <w:br w:type="page"/>
      </w:r>
      <w:bookmarkStart w:id="41" w:name="_Hlk133572867"/>
      <w:r>
        <w:rPr>
          <w:rFonts w:hint="eastAsia"/>
          <w:sz w:val="28"/>
          <w:szCs w:val="28"/>
        </w:rPr>
        <w:t xml:space="preserve">附件： </w:t>
      </w:r>
      <w:r>
        <w:rPr>
          <w:sz w:val="28"/>
          <w:szCs w:val="28"/>
        </w:rPr>
        <w:t xml:space="preserve">                             </w:t>
      </w:r>
    </w:p>
    <w:p>
      <w:pPr>
        <w:spacing w:line="528" w:lineRule="exact"/>
        <w:ind w:firstLineChars="100" w:firstLine="280"/>
        <w:jc w:val="center"/>
        <w:rPr>
          <w:sz w:val="28"/>
          <w:szCs w:val="28"/>
        </w:rPr>
      </w:pPr>
      <w:r>
        <w:rPr>
          <w:rFonts w:hint="eastAsia"/>
          <w:sz w:val="28"/>
          <w:szCs w:val="28"/>
        </w:rPr>
        <w:t>中小微企业划型标准</w:t>
      </w:r>
    </w:p>
    <w:tbl>
      <w:tblPr>
        <w:jc w:val="left"/>
        <w:tblInd w:w="250" w:type="dxa"/>
        <w:tblW w:w="8706"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446"/>
        <w:gridCol w:w="1701"/>
        <w:gridCol w:w="1134"/>
        <w:gridCol w:w="1846"/>
        <w:gridCol w:w="1570"/>
        <w:gridCol w:w="1009"/>
      </w:tblGrid>
      <w:tr>
        <w:trPr>
          <w:trHeight w:val="279"/>
        </w:trPr>
        <w:tc>
          <w:tcPr>
            <w:tcW w:w="1446" w:type="dxa"/>
            <w:tcBorders>
              <w:top w:val="single" w:sz="4" w:space="0" w:color="auto"/>
              <w:left w:val="single" w:sz="4" w:space="0" w:color="auto"/>
              <w:bottom w:val="single" w:sz="4" w:space="0" w:color="auto"/>
              <w:right w:val="single" w:sz="4" w:space="0" w:color="auto"/>
            </w:tcBorders>
            <w:vAlign w:val="center"/>
          </w:tcPr>
          <w:p>
            <w:pPr>
              <w:widowControl/>
              <w:jc w:val="left"/>
              <w:rPr>
                <w:szCs w:val="21"/>
              </w:rPr>
            </w:pPr>
            <w:r>
              <w:rPr>
                <w:rFonts w:hint="eastAsia"/>
                <w:szCs w:val="21"/>
              </w:rPr>
              <w:t>行业名称</w:t>
            </w:r>
          </w:p>
        </w:tc>
        <w:tc>
          <w:tcPr>
            <w:tcW w:w="1701"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指标名称</w:t>
            </w:r>
          </w:p>
        </w:tc>
        <w:tc>
          <w:tcPr>
            <w:tcW w:w="1134"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计量单位</w:t>
            </w:r>
          </w:p>
        </w:tc>
        <w:tc>
          <w:tcPr>
            <w:tcW w:w="1846"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中型</w:t>
            </w:r>
          </w:p>
        </w:tc>
        <w:tc>
          <w:tcPr>
            <w:tcW w:w="1570"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小型</w:t>
            </w:r>
          </w:p>
        </w:tc>
        <w:tc>
          <w:tcPr>
            <w:tcW w:w="1009" w:type="dxa"/>
            <w:tcBorders>
              <w:top w:val="single" w:sz="4" w:space="0" w:color="auto"/>
              <w:left w:val="nil"/>
              <w:bottom w:val="single" w:sz="4" w:space="0" w:color="auto"/>
              <w:right w:val="single" w:sz="4" w:space="0" w:color="auto"/>
            </w:tcBorders>
            <w:vAlign w:val="center"/>
          </w:tcPr>
          <w:p>
            <w:pPr>
              <w:widowControl/>
              <w:jc w:val="left"/>
              <w:rPr>
                <w:szCs w:val="21"/>
              </w:rPr>
            </w:pPr>
            <w:r>
              <w:rPr>
                <w:rFonts w:hint="eastAsia"/>
                <w:szCs w:val="21"/>
              </w:rPr>
              <w:t>微型</w:t>
            </w:r>
          </w:p>
        </w:tc>
      </w:tr>
      <w:tr>
        <w:trPr>
          <w:trHeight w:val="220"/>
        </w:trPr>
        <w:tc>
          <w:tcPr>
            <w:tcW w:w="1446" w:type="dxa"/>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农、林、牧、渔</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500≤Y＜20000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50≤Y＜500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Y＜50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工业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2000≤Y＜40000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Y＜300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建筑业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6000≤Y＜80000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300≤Y＜6000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Y＜300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资产总额（Z）</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5000≤Z＜80000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300≤Z＜5000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Z＜300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ind w:firstLineChars="150" w:firstLine="315"/>
              <w:rPr>
                <w:szCs w:val="21"/>
              </w:rPr>
            </w:pPr>
            <w:r>
              <w:rPr>
                <w:rFonts w:hint="eastAsia"/>
                <w:szCs w:val="21"/>
              </w:rPr>
              <w:t>批发业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20≤X＜200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5≤X＜20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X＜5</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5000≤Y＜40000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1000≤Y＜5000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零售业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10≤X＜50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500≤Y＜20000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100≤Y＜500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交通运输业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3000≤Y＜30000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200≤Y＜3000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Y＜200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仓储业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100≤X＜200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1000≤Y＜30000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邮政业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X＜20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2000≤Y＜30000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住宿业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餐饮业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100≤Y＜2000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信息传输业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100≤X＜2000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1000≤Y＜100000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软件和信息技术服务业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Y＜50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房地产开发经营</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1000≤Y＜200000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资产总额（Z）</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5000≤Z＜10000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2000≤Y＜5000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Y＜2000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物业管理</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300≤X＜1000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营业收入（Y）</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1000≤Y＜5000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500≤Y＜1000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Y＜500</w:t>
            </w:r>
          </w:p>
        </w:tc>
      </w:tr>
      <w:tr>
        <w:trPr>
          <w:trHeight w:val="220"/>
        </w:trPr>
        <w:tc>
          <w:tcPr>
            <w:tcW w:w="1446" w:type="dxa"/>
            <w:vMerge w:val="restart"/>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租赁和商务服务业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r>
        <w:trPr>
          <w:trHeight w:val="220"/>
        </w:trPr>
        <w:tc>
          <w:tcPr>
            <w:tcW w:w="1446" w:type="dxa"/>
            <w:vMerge/>
            <w:tcBorders>
              <w:top w:val="nil"/>
              <w:left w:val="single" w:sz="4" w:space="0" w:color="auto"/>
              <w:bottom w:val="single" w:sz="4" w:space="0" w:color="auto"/>
              <w:right w:val="single" w:sz="4" w:space="0" w:color="auto"/>
            </w:tcBorders>
            <w:vAlign w:val="center"/>
          </w:tcP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资产总额（Z）</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万元</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8000≤Z＜120000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100≤Z＜8000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Y＜100</w:t>
            </w:r>
          </w:p>
        </w:tc>
      </w:tr>
      <w:tr>
        <w:trPr>
          <w:trHeight w:val="220"/>
        </w:trPr>
        <w:tc>
          <w:tcPr>
            <w:tcW w:w="1446" w:type="dxa"/>
            <w:tcBorders>
              <w:top w:val="nil"/>
              <w:left w:val="single" w:sz="4" w:space="0" w:color="auto"/>
              <w:bottom w:val="single" w:sz="4" w:space="0" w:color="auto"/>
              <w:right w:val="single" w:sz="4" w:space="0" w:color="auto"/>
            </w:tcBorders>
            <w:vAlign w:val="bottom"/>
          </w:tcPr>
          <w:p>
            <w:pPr>
              <w:widowControl/>
              <w:jc w:val="center"/>
              <w:rPr>
                <w:szCs w:val="21"/>
              </w:rPr>
            </w:pPr>
            <w:r>
              <w:rPr>
                <w:rFonts w:hint="eastAsia"/>
                <w:szCs w:val="21"/>
              </w:rPr>
              <w:t>其他未列明行业</w:t>
            </w:r>
          </w:p>
        </w:tc>
        <w:tc>
          <w:tcPr>
            <w:tcW w:w="1701"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从业人员（X）</w:t>
            </w:r>
          </w:p>
        </w:tc>
        <w:tc>
          <w:tcPr>
            <w:tcW w:w="1134"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人</w:t>
            </w:r>
          </w:p>
        </w:tc>
        <w:tc>
          <w:tcPr>
            <w:tcW w:w="1846"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100≤X＜300</w:t>
            </w:r>
          </w:p>
        </w:tc>
        <w:tc>
          <w:tcPr>
            <w:tcW w:w="1570"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10≤X＜100</w:t>
            </w:r>
          </w:p>
        </w:tc>
        <w:tc>
          <w:tcPr>
            <w:tcW w:w="1009" w:type="dxa"/>
            <w:tcBorders>
              <w:top w:val="nil"/>
              <w:left w:val="nil"/>
              <w:bottom w:val="single" w:sz="4" w:space="0" w:color="auto"/>
              <w:right w:val="single" w:sz="4" w:space="0" w:color="auto"/>
            </w:tcBorders>
            <w:vAlign w:val="center"/>
          </w:tcPr>
          <w:p>
            <w:pPr>
              <w:widowControl/>
              <w:jc w:val="left"/>
              <w:rPr>
                <w:szCs w:val="21"/>
              </w:rPr>
            </w:pPr>
            <w:r>
              <w:rPr>
                <w:rFonts w:hint="eastAsia"/>
                <w:szCs w:val="21"/>
              </w:rPr>
              <w:t>X＜10</w:t>
            </w:r>
          </w:p>
        </w:tc>
      </w:tr>
    </w:tbl>
    <w:p>
      <w:pPr>
        <w:spacing w:line="360" w:lineRule="auto"/>
        <w:ind w:firstLineChars="250" w:firstLine="525"/>
        <w:rPr>
          <w:szCs w:val="21"/>
        </w:rPr>
      </w:pPr>
      <w:r>
        <w:rPr>
          <w:rFonts w:hint="eastAsia"/>
          <w:szCs w:val="21"/>
        </w:rPr>
        <w:t>说明：上述标准参照《关于印发中小企业划型标准规定的通知》（工信部联企业[2011]300号），大型、中型和小型企业须同时满足所列指标的下限，否则下划一档；微型企业只须满足所列指标中的一项即可。</w:t>
      </w:r>
    </w:p>
    <w:p>
      <w:pPr>
        <w:spacing w:line="312" w:lineRule="auto"/>
        <w:ind w:firstLineChars="200" w:firstLine="420"/>
        <w:jc w:val="left"/>
        <w:rPr>
          <w:bCs/>
          <w:kern w:val="0"/>
          <w:szCs w:val="21"/>
        </w:rPr>
        <w:sectPr>
          <w:headerReference w:type="default" r:id="rId9"/>
          <w:headerReference w:type="first" r:id="rId10"/>
          <w:pgSz w:w="11906" w:h="16838"/>
          <w:pgMar w:top="1418" w:right="1133" w:bottom="1246" w:left="1418" w:header="851" w:footer="992" w:gutter="0"/>
          <w:docGrid w:linePitch="312" w:charSpace="0"/>
        </w:sectPr>
      </w:pPr>
      <w:bookmarkEnd w:id="41"/>
    </w:p>
    <w:p>
      <w:pPr>
        <w:pStyle w:val="31"/>
        <w:snapToGrid w:val="0"/>
        <w:spacing w:before="120" w:after="120" w:line="320" w:lineRule="exact"/>
        <w:jc w:val="center"/>
        <w:outlineLvl w:val="0"/>
        <w:rPr>
          <w:rFonts w:ascii="Times New Roman" w:cs="Times New Roman" w:hAnsi="Times New Roman"/>
          <w:sz w:val="32"/>
          <w:szCs w:val="32"/>
        </w:rPr>
      </w:pPr>
      <w:bookmarkStart w:id="42" w:name="_Toc20486"/>
      <w:bookmarkEnd w:id="21"/>
      <w:bookmarkEnd w:id="39"/>
      <w:r>
        <w:rPr>
          <w:rFonts w:ascii="Times New Roman" w:cs="Times New Roman" w:hAnsi="Times New Roman"/>
          <w:sz w:val="32"/>
          <w:szCs w:val="32"/>
        </w:rPr>
        <w:t>第三章  供应商须知</w:t>
      </w:r>
      <w:bookmarkStart w:id="43" w:name="_投标人须知前附表"/>
      <w:bookmarkEnd w:id="42"/>
      <w:bookmarkEnd w:id="43"/>
    </w:p>
    <w:p>
      <w:pPr>
        <w:pStyle w:val="31"/>
        <w:snapToGrid w:val="0"/>
        <w:spacing w:before="120" w:after="120" w:line="320" w:lineRule="exact"/>
        <w:jc w:val="center"/>
        <w:outlineLvl w:val="1"/>
        <w:rPr>
          <w:rFonts w:ascii="Times New Roman" w:cs="Times New Roman" w:hAnsi="Times New Roman"/>
          <w:b/>
          <w:bCs/>
          <w:sz w:val="24"/>
          <w:szCs w:val="24"/>
        </w:rPr>
      </w:pPr>
      <w:bookmarkStart w:id="44" w:name="_Hlk89187839"/>
      <w:r>
        <w:rPr>
          <w:rFonts w:ascii="Times New Roman" w:cs="Times New Roman" w:hAnsi="Times New Roman" w:hint="eastAsia"/>
          <w:b/>
          <w:bCs/>
          <w:sz w:val="24"/>
          <w:szCs w:val="24"/>
        </w:rPr>
        <w:t>供应商须知前附表</w:t>
      </w:r>
    </w:p>
    <w:tbl>
      <w:tblPr>
        <w:jc w:val="left"/>
        <w:tblInd w:w="108"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354"/>
        <w:gridCol w:w="1204"/>
        <w:gridCol w:w="6905"/>
      </w:tblGrid>
      <w:tr>
        <w:trPr>
          <w:trHeight w:val="409"/>
        </w:trPr>
        <w:tc>
          <w:tcPr>
            <w:tcW w:w="1354" w:type="dxa"/>
            <w:tcBorders>
              <w:top w:val="single" w:sz="4" w:space="0" w:color="auto"/>
              <w:left w:val="single" w:sz="4" w:space="0" w:color="auto"/>
              <w:bottom w:val="single" w:sz="4" w:space="0" w:color="auto"/>
              <w:right w:val="single" w:sz="4" w:space="0" w:color="auto"/>
            </w:tcBorders>
            <w:vAlign w:val="center"/>
          </w:tcPr>
          <w:p>
            <w:pPr>
              <w:jc w:val="center"/>
              <w:rPr>
                <w:b/>
                <w:szCs w:val="21"/>
              </w:rPr>
            </w:pPr>
            <w:bookmarkEnd w:id="44"/>
            <w:r>
              <w:rPr>
                <w:b/>
                <w:szCs w:val="21"/>
              </w:rPr>
              <w:t>条款号</w:t>
            </w:r>
          </w:p>
        </w:tc>
        <w:tc>
          <w:tcPr>
            <w:tcW w:w="1204" w:type="dxa"/>
            <w:tcBorders>
              <w:top w:val="single" w:sz="4" w:space="0" w:color="auto"/>
              <w:left w:val="single" w:sz="4" w:space="0" w:color="auto"/>
              <w:bottom w:val="single" w:sz="4" w:space="0" w:color="auto"/>
              <w:right w:val="single" w:sz="4" w:space="0" w:color="auto"/>
            </w:tcBorders>
            <w:vAlign w:val="center"/>
          </w:tcPr>
          <w:p>
            <w:pPr>
              <w:jc w:val="center"/>
              <w:rPr>
                <w:b/>
                <w:szCs w:val="21"/>
              </w:rPr>
            </w:pPr>
            <w:r>
              <w:rPr>
                <w:b/>
                <w:szCs w:val="21"/>
              </w:rPr>
              <w:t>要点</w:t>
            </w:r>
          </w:p>
        </w:tc>
        <w:tc>
          <w:tcPr>
            <w:tcW w:w="6905" w:type="dxa"/>
            <w:tcBorders>
              <w:top w:val="single" w:sz="4" w:space="0" w:color="auto"/>
              <w:left w:val="single" w:sz="4" w:space="0" w:color="auto"/>
              <w:bottom w:val="single" w:sz="4" w:space="0" w:color="auto"/>
              <w:right w:val="single" w:sz="4" w:space="0" w:color="auto"/>
            </w:tcBorders>
            <w:vAlign w:val="center"/>
          </w:tcPr>
          <w:p>
            <w:pPr>
              <w:jc w:val="center"/>
              <w:rPr>
                <w:b/>
                <w:szCs w:val="21"/>
              </w:rPr>
            </w:pPr>
            <w:r>
              <w:rPr>
                <w:b/>
                <w:szCs w:val="21"/>
              </w:rPr>
              <w:t>内容、要求</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1.3.1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项目基本信息</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rFonts w:eastAsia="宋体" w:hint="eastAsia"/>
                <w:szCs w:val="21"/>
                <w:lang w:eastAsia="zh-CN"/>
              </w:rPr>
            </w:pPr>
            <w:r>
              <w:rPr>
                <w:szCs w:val="21"/>
              </w:rPr>
              <w:t>项目名称：</w:t>
            </w:r>
            <w:r>
              <w:rPr>
                <w:rFonts w:hint="eastAsia"/>
                <w:szCs w:val="21"/>
                <w:lang w:eastAsia="zh-CN"/>
              </w:rPr>
              <w:t>南宁海关艰苦地区边关生活设施保障能力提升工程（二期）项目-友谊关海关项目</w:t>
            </w:r>
          </w:p>
          <w:p>
            <w:pPr>
              <w:spacing w:line="300" w:lineRule="exact"/>
              <w:jc w:val="left"/>
              <w:rPr>
                <w:rFonts w:eastAsia="宋体" w:hint="eastAsia"/>
                <w:szCs w:val="21"/>
                <w:lang w:eastAsia="zh-CN"/>
              </w:rPr>
            </w:pPr>
            <w:r>
              <w:rPr>
                <w:szCs w:val="21"/>
              </w:rPr>
              <w:t>项目编号：</w:t>
            </w:r>
            <w:r>
              <w:rPr>
                <w:rFonts w:hint="eastAsia"/>
                <w:szCs w:val="21"/>
                <w:lang w:eastAsia="zh-CN"/>
              </w:rPr>
              <w:t>GGZX2025-ZB-288</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1.3.1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建设地点、建设范围、工期及质量要求</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建设地点：</w:t>
            </w:r>
            <w:r>
              <w:rPr>
                <w:rFonts w:hint="eastAsia"/>
                <w:szCs w:val="21"/>
              </w:rPr>
              <w:t>广西凭祥市</w:t>
            </w:r>
          </w:p>
          <w:p>
            <w:pPr>
              <w:spacing w:line="300" w:lineRule="exact"/>
              <w:jc w:val="left"/>
              <w:rPr>
                <w:szCs w:val="21"/>
              </w:rPr>
            </w:pPr>
            <w:r>
              <w:rPr>
                <w:rFonts w:hint="eastAsia"/>
                <w:szCs w:val="21"/>
              </w:rPr>
              <w:t>建设</w:t>
            </w:r>
            <w:r>
              <w:rPr>
                <w:szCs w:val="21"/>
              </w:rPr>
              <w:t>范围：</w:t>
            </w:r>
            <w:r>
              <w:rPr>
                <w:rFonts w:hint="eastAsia"/>
                <w:szCs w:val="21"/>
              </w:rPr>
              <w:t>洗衣房、小医疗室、室内训练馆等改造。其中洗衣房始建年代不详，为单层公共建筑，建筑主要用材为M10红砖；小医疗室始建年代为90年，为公共建筑，建筑主要用材为M10红砖；室内训练馆始建年代不详，为体育建筑，建筑主要用材为M10红砖；建筑提升改造南大路1支9号生活区改造，建设成品机动车棚25个，面积约450㎡。具体实施范围以设计图及工程量清单为准。</w:t>
            </w:r>
          </w:p>
          <w:p>
            <w:pPr>
              <w:spacing w:line="300" w:lineRule="exact"/>
              <w:jc w:val="left"/>
              <w:rPr>
                <w:szCs w:val="21"/>
              </w:rPr>
            </w:pPr>
            <w:r>
              <w:rPr>
                <w:rFonts w:hint="eastAsia"/>
                <w:szCs w:val="21"/>
              </w:rPr>
              <w:t>资金来源：财政资金100%</w:t>
            </w:r>
          </w:p>
          <w:p>
            <w:pPr>
              <w:spacing w:line="300" w:lineRule="exact"/>
              <w:jc w:val="left"/>
              <w:rPr>
                <w:rFonts w:eastAsia="宋体" w:hint="eastAsia"/>
                <w:szCs w:val="21"/>
                <w:lang w:eastAsia="zh-CN"/>
              </w:rPr>
            </w:pPr>
            <w:r>
              <w:rPr>
                <w:szCs w:val="21"/>
              </w:rPr>
              <w:t>工期要求：</w:t>
            </w:r>
            <w:r>
              <w:rPr>
                <w:rFonts w:hint="eastAsia"/>
                <w:szCs w:val="21"/>
                <w:lang w:val="en-US" w:eastAsia="zh-CN"/>
              </w:rPr>
              <w:t>60</w:t>
            </w:r>
            <w:r>
              <w:rPr>
                <w:szCs w:val="21"/>
              </w:rPr>
              <w:t>日历天</w:t>
            </w:r>
          </w:p>
          <w:p>
            <w:pPr>
              <w:spacing w:line="300" w:lineRule="exact"/>
              <w:jc w:val="left"/>
              <w:rPr>
                <w:szCs w:val="21"/>
                <w:u w:val="none"/>
              </w:rPr>
            </w:pPr>
            <w:r>
              <w:rPr>
                <w:rFonts w:hint="eastAsia"/>
                <w:szCs w:val="21"/>
              </w:rPr>
              <w:t>计划开工日期：2025</w:t>
            </w:r>
            <w:r>
              <w:rPr>
                <w:rFonts w:hint="eastAsia"/>
                <w:szCs w:val="21"/>
                <w:u w:val="none"/>
              </w:rPr>
              <w:t>年10月</w:t>
            </w:r>
            <w:r>
              <w:rPr>
                <w:rFonts w:hint="eastAsia"/>
                <w:szCs w:val="21"/>
                <w:u w:val="none"/>
                <w:lang w:val="en-US" w:eastAsia="zh-CN"/>
              </w:rPr>
              <w:t>31</w:t>
            </w:r>
            <w:r>
              <w:rPr>
                <w:rFonts w:hint="eastAsia"/>
                <w:szCs w:val="21"/>
                <w:u w:val="none"/>
              </w:rPr>
              <w:t>日，计划竣工日期：202</w:t>
            </w:r>
            <w:r>
              <w:rPr>
                <w:rFonts w:hint="eastAsia"/>
                <w:szCs w:val="21"/>
                <w:u w:val="none"/>
                <w:lang w:val="en-US" w:eastAsia="zh-CN"/>
              </w:rPr>
              <w:t>5</w:t>
            </w:r>
            <w:r>
              <w:rPr>
                <w:rFonts w:hint="eastAsia"/>
                <w:szCs w:val="21"/>
                <w:u w:val="none"/>
              </w:rPr>
              <w:t>年</w:t>
            </w:r>
            <w:r>
              <w:rPr>
                <w:rFonts w:hint="eastAsia"/>
                <w:szCs w:val="21"/>
                <w:u w:val="none"/>
                <w:lang w:val="en-US" w:eastAsia="zh-CN"/>
              </w:rPr>
              <w:t>12</w:t>
            </w:r>
            <w:r>
              <w:rPr>
                <w:rFonts w:hint="eastAsia"/>
                <w:szCs w:val="21"/>
                <w:u w:val="none"/>
              </w:rPr>
              <w:t>月</w:t>
            </w:r>
            <w:r>
              <w:rPr>
                <w:rFonts w:hint="eastAsia"/>
                <w:szCs w:val="21"/>
                <w:u w:val="none"/>
                <w:lang w:val="en-US" w:eastAsia="zh-CN"/>
              </w:rPr>
              <w:t>30</w:t>
            </w:r>
            <w:r>
              <w:rPr>
                <w:rFonts w:hint="eastAsia"/>
                <w:szCs w:val="21"/>
                <w:u w:val="none"/>
              </w:rPr>
              <w:t>日</w:t>
            </w:r>
          </w:p>
          <w:p>
            <w:pPr>
              <w:spacing w:line="300" w:lineRule="exact"/>
              <w:jc w:val="left"/>
              <w:rPr>
                <w:szCs w:val="21"/>
              </w:rPr>
            </w:pPr>
            <w:r>
              <w:rPr>
                <w:szCs w:val="21"/>
              </w:rPr>
              <w:t>质量要求：</w:t>
            </w:r>
            <w:r>
              <w:rPr>
                <w:rFonts w:hint="eastAsia"/>
                <w:szCs w:val="21"/>
              </w:rPr>
              <w:t>符合国家、行业和项目本地市有关施工质量验收规范、技术规范、技术标准、规程、文件等相关规定及本工程施工图设计文件要求，并验收合格</w:t>
            </w:r>
          </w:p>
          <w:p>
            <w:pPr>
              <w:spacing w:line="300" w:lineRule="exact"/>
              <w:jc w:val="left"/>
              <w:rPr>
                <w:szCs w:val="21"/>
              </w:rPr>
            </w:pPr>
            <w:r>
              <w:rPr>
                <w:szCs w:val="21"/>
              </w:rPr>
              <w:t>其他要求：</w:t>
            </w:r>
            <w:r>
              <w:rPr>
                <w:rFonts w:hint="eastAsia"/>
                <w:szCs w:val="21"/>
              </w:rPr>
              <w:t>无</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1.3.1</w:t>
            </w:r>
          </w:p>
          <w:p>
            <w:pPr>
              <w:spacing w:line="300" w:lineRule="exact"/>
              <w:jc w:val="center"/>
              <w:rPr>
                <w:szCs w:val="21"/>
              </w:rPr>
            </w:pP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增值税计税方法</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本工程增值税计税方法：</w:t>
            </w:r>
            <w:r>
              <w:rPr>
                <w:szCs w:val="21"/>
              </w:rPr>
              <w:sym w:font="Wingdings 2" w:char="F052"/>
            </w:r>
            <w:r>
              <w:t>一般计税法</w:t>
            </w:r>
            <w:r>
              <w:rPr>
                <w:szCs w:val="21"/>
              </w:rPr>
              <w:t xml:space="preserve">   </w:t>
            </w:r>
            <w:r>
              <w:rPr>
                <w:szCs w:val="21"/>
              </w:rPr>
              <w:sym w:font="Wingdings 2" w:char="F0A3"/>
            </w:r>
            <w:r>
              <w:t>简易计税法</w:t>
            </w:r>
          </w:p>
          <w:p>
            <w:pPr>
              <w:spacing w:line="300" w:lineRule="exact"/>
              <w:jc w:val="left"/>
            </w:pPr>
            <w:r>
              <w:rPr>
                <w:rFonts w:cs="宋体" w:hint="eastAsia"/>
              </w:rPr>
              <w:t>注：根据</w:t>
            </w:r>
            <w:r>
              <w:rPr>
                <w:rFonts w:hint="eastAsia"/>
              </w:rPr>
              <w:t>《关于全面推开营业税改征增值税试点的通知》（财税〔2016〕36号）、《关于建筑服务等营改增试点政策的通知》（财税〔2017〕58号）等国家、自治区现行有关文件规定。</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1.3.2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采购方式</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竞争性磋商</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1</w:t>
            </w:r>
            <w:r>
              <w:rPr>
                <w:b/>
                <w:szCs w:val="21"/>
              </w:rPr>
              <w:t>.4</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lang w:val="zh-CN"/>
              </w:rPr>
            </w:pPr>
            <w:r>
              <w:rPr>
                <w:rFonts w:hint="eastAsia"/>
                <w:szCs w:val="21"/>
                <w:lang w:val="zh-CN"/>
              </w:rPr>
              <w:t>促进中小企业发展措施</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本项目非专门面向中小微企业采购。</w:t>
            </w:r>
            <w:r>
              <w:rPr>
                <w:szCs w:val="21"/>
              </w:rPr>
              <w:t xml:space="preserve"> </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1.5.1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lang w:val="zh-CN"/>
              </w:rPr>
              <w:t>供应商资格条件</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详</w:t>
            </w:r>
            <w:r>
              <w:rPr>
                <w:szCs w:val="21"/>
              </w:rPr>
              <w:t>见</w:t>
            </w:r>
            <w:r>
              <w:rPr>
                <w:rFonts w:hint="eastAsia"/>
                <w:szCs w:val="21"/>
              </w:rPr>
              <w:t>磋商</w:t>
            </w:r>
            <w:r>
              <w:rPr>
                <w:szCs w:val="21"/>
              </w:rPr>
              <w:t>公告</w:t>
            </w:r>
            <w:r>
              <w:rPr>
                <w:rFonts w:hint="eastAsia"/>
                <w:szCs w:val="21"/>
              </w:rPr>
              <w:t>。</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1.5.1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供应商不得存在</w:t>
            </w:r>
            <w:r>
              <w:rPr>
                <w:rFonts w:hint="eastAsia"/>
                <w:szCs w:val="21"/>
              </w:rPr>
              <w:t>的</w:t>
            </w:r>
            <w:r>
              <w:rPr>
                <w:szCs w:val="21"/>
              </w:rPr>
              <w:t>情形</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（1）与采购人存在利害关系可能影响采购公正性的法人、其他组织；</w:t>
            </w:r>
          </w:p>
          <w:p>
            <w:pPr>
              <w:spacing w:line="300" w:lineRule="exact"/>
              <w:jc w:val="left"/>
              <w:rPr>
                <w:szCs w:val="21"/>
              </w:rPr>
            </w:pPr>
            <w:r>
              <w:rPr>
                <w:rFonts w:hint="eastAsia"/>
                <w:szCs w:val="21"/>
              </w:rPr>
              <w:t>（2）为本标段前期准备提供设计或咨询服务的，但设计施工总承包的除外；</w:t>
            </w:r>
          </w:p>
          <w:p>
            <w:pPr>
              <w:spacing w:line="300" w:lineRule="exact"/>
              <w:jc w:val="left"/>
              <w:rPr>
                <w:szCs w:val="21"/>
              </w:rPr>
            </w:pPr>
            <w:r>
              <w:rPr>
                <w:rFonts w:hint="eastAsia"/>
                <w:szCs w:val="21"/>
              </w:rPr>
              <w:t>（3）为本标段的监理人；</w:t>
            </w:r>
          </w:p>
          <w:p>
            <w:pPr>
              <w:spacing w:line="300" w:lineRule="exact"/>
              <w:jc w:val="left"/>
              <w:rPr>
                <w:szCs w:val="21"/>
              </w:rPr>
            </w:pPr>
            <w:r>
              <w:rPr>
                <w:rFonts w:hint="eastAsia"/>
                <w:szCs w:val="21"/>
              </w:rPr>
              <w:t>（4）为本标段的代建人；</w:t>
            </w:r>
          </w:p>
          <w:p>
            <w:pPr>
              <w:spacing w:line="300" w:lineRule="exact"/>
              <w:jc w:val="left"/>
              <w:rPr>
                <w:szCs w:val="21"/>
              </w:rPr>
            </w:pPr>
            <w:r>
              <w:rPr>
                <w:rFonts w:hint="eastAsia"/>
                <w:szCs w:val="21"/>
              </w:rPr>
              <w:t>（5）为本标段提供采购代理服务的；</w:t>
            </w:r>
          </w:p>
          <w:p>
            <w:pPr>
              <w:spacing w:line="300" w:lineRule="exact"/>
              <w:jc w:val="left"/>
              <w:rPr>
                <w:szCs w:val="21"/>
              </w:rPr>
            </w:pPr>
            <w:r>
              <w:rPr>
                <w:rFonts w:hint="eastAsia"/>
                <w:szCs w:val="21"/>
              </w:rPr>
              <w:t>（6）与本标段的监理人或代建人或采购代理机构同为一个法定代表人的；</w:t>
            </w:r>
          </w:p>
          <w:p>
            <w:pPr>
              <w:spacing w:line="300" w:lineRule="exact"/>
              <w:jc w:val="left"/>
              <w:rPr>
                <w:szCs w:val="21"/>
              </w:rPr>
            </w:pPr>
            <w:r>
              <w:rPr>
                <w:rFonts w:hint="eastAsia"/>
                <w:szCs w:val="21"/>
              </w:rPr>
              <w:t>（7）与本标段的监理人或代建人或采购代理机构相互控股或参股的；</w:t>
            </w:r>
          </w:p>
          <w:p>
            <w:pPr>
              <w:spacing w:line="300" w:lineRule="exact"/>
              <w:jc w:val="left"/>
              <w:rPr>
                <w:szCs w:val="21"/>
              </w:rPr>
            </w:pPr>
            <w:r>
              <w:rPr>
                <w:rFonts w:hint="eastAsia"/>
                <w:szCs w:val="21"/>
              </w:rPr>
              <w:t>（8）与本标段的监理人或代建人或采购代理机构相互任职或工作的；</w:t>
            </w:r>
          </w:p>
          <w:p>
            <w:pPr>
              <w:spacing w:line="300" w:lineRule="exact"/>
              <w:jc w:val="left"/>
              <w:rPr>
                <w:szCs w:val="21"/>
              </w:rPr>
            </w:pPr>
            <w:r>
              <w:rPr>
                <w:rFonts w:hint="eastAsia"/>
                <w:szCs w:val="21"/>
              </w:rPr>
              <w:t>（9）吊销或暂扣营业执照、安全生产许可证期间；</w:t>
            </w:r>
          </w:p>
          <w:p>
            <w:pPr>
              <w:spacing w:line="300" w:lineRule="exact"/>
              <w:jc w:val="left"/>
              <w:rPr>
                <w:szCs w:val="21"/>
              </w:rPr>
            </w:pPr>
            <w:r>
              <w:rPr>
                <w:rFonts w:hint="eastAsia"/>
                <w:szCs w:val="21"/>
              </w:rPr>
              <w:t>（10）在本行政区域被暂停或取消投标资格的；</w:t>
            </w:r>
          </w:p>
          <w:p>
            <w:pPr>
              <w:spacing w:line="300" w:lineRule="exact"/>
              <w:jc w:val="left"/>
              <w:rPr>
                <w:szCs w:val="21"/>
              </w:rPr>
            </w:pPr>
            <w:r>
              <w:rPr>
                <w:rFonts w:hint="eastAsia"/>
                <w:szCs w:val="21"/>
              </w:rPr>
              <w:t>（11）财产被接管或基本账户被冻结的；</w:t>
            </w:r>
          </w:p>
          <w:p>
            <w:pPr>
              <w:spacing w:line="300" w:lineRule="exact"/>
              <w:jc w:val="left"/>
              <w:rPr>
                <w:szCs w:val="21"/>
              </w:rPr>
            </w:pPr>
            <w:r>
              <w:rPr>
                <w:rFonts w:hint="eastAsia"/>
                <w:szCs w:val="21"/>
              </w:rPr>
              <w:t>（12）有骗取中标或严重违约或工程质量安全问题，在本行政区域正处在停业整顿或暂停投标期间的；</w:t>
            </w:r>
          </w:p>
          <w:p>
            <w:pPr>
              <w:spacing w:line="300" w:lineRule="exact"/>
              <w:jc w:val="left"/>
              <w:rPr>
                <w:szCs w:val="21"/>
              </w:rPr>
            </w:pPr>
            <w:r>
              <w:rPr>
                <w:rFonts w:hint="eastAsia"/>
                <w:szCs w:val="21"/>
              </w:rPr>
              <w:t>（13）被责令停业的。</w:t>
            </w:r>
          </w:p>
        </w:tc>
      </w:tr>
      <w:tr>
        <w:trPr>
          <w:trHeight w:val="4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1.5.3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联合体</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否</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1.6</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踏勘</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 xml:space="preserve">否 </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1.7.1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转包</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本项目不允许转包</w:t>
            </w:r>
            <w:r>
              <w:rPr>
                <w:rFonts w:hint="eastAsia"/>
                <w:szCs w:val="21"/>
              </w:rPr>
              <w:t>。</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1.7.2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分包</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否</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2.3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采购文件澄清、修改</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在</w:t>
            </w:r>
            <w:r>
              <w:rPr>
                <w:rFonts w:hint="eastAsia"/>
                <w:szCs w:val="21"/>
              </w:rPr>
              <w:t>磋商</w:t>
            </w:r>
            <w:r>
              <w:rPr>
                <w:szCs w:val="21"/>
              </w:rPr>
              <w:t>公告发布媒介发布</w:t>
            </w:r>
            <w:r>
              <w:rPr>
                <w:rFonts w:hint="eastAsia"/>
                <w:szCs w:val="21"/>
              </w:rPr>
              <w:t>。</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2.3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确认收到澄清、修改发布的方式</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澄清、修改文件</w:t>
            </w:r>
            <w:r>
              <w:rPr>
                <w:rFonts w:hint="eastAsia"/>
                <w:szCs w:val="21"/>
              </w:rPr>
              <w:t>自磋商</w:t>
            </w:r>
            <w:r>
              <w:rPr>
                <w:szCs w:val="21"/>
              </w:rPr>
              <w:t>公告发布媒</w:t>
            </w:r>
            <w:r>
              <w:rPr>
                <w:rFonts w:hint="eastAsia"/>
                <w:szCs w:val="21"/>
              </w:rPr>
              <w:t>体</w:t>
            </w:r>
            <w:r>
              <w:rPr>
                <w:szCs w:val="21"/>
              </w:rPr>
              <w:t>发布之日起，视为供应商已收到该澄清、修改。供应商未及时关注</w:t>
            </w:r>
            <w:r>
              <w:rPr>
                <w:rFonts w:hint="eastAsia"/>
                <w:szCs w:val="21"/>
              </w:rPr>
              <w:t>磋商</w:t>
            </w:r>
            <w:r>
              <w:rPr>
                <w:szCs w:val="21"/>
              </w:rPr>
              <w:t>公告发布媒</w:t>
            </w:r>
            <w:r>
              <w:rPr>
                <w:rFonts w:hint="eastAsia"/>
                <w:szCs w:val="21"/>
              </w:rPr>
              <w:t>体</w:t>
            </w:r>
            <w:r>
              <w:rPr>
                <w:szCs w:val="21"/>
              </w:rPr>
              <w:t>造成的损失，由供应商自行负责。</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3.4.1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响应</w:t>
            </w:r>
            <w:r>
              <w:rPr>
                <w:szCs w:val="21"/>
              </w:rPr>
              <w:t>有效期</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响应截止之日起90天。</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3.5</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磋商</w:t>
            </w:r>
            <w:r>
              <w:rPr>
                <w:szCs w:val="21"/>
              </w:rPr>
              <w:t>保证金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磋商保证金金额：人民币贰万伍仟元整（￥25,000.00元）。</w:t>
            </w:r>
          </w:p>
          <w:p>
            <w:pPr>
              <w:spacing w:line="300" w:lineRule="exact"/>
              <w:jc w:val="left"/>
              <w:rPr>
                <w:szCs w:val="21"/>
              </w:rPr>
            </w:pPr>
            <w:r>
              <w:rPr>
                <w:rFonts w:hint="eastAsia"/>
                <w:szCs w:val="21"/>
              </w:rPr>
              <w:t>1、缴纳方式一：</w:t>
            </w:r>
          </w:p>
          <w:p>
            <w:pPr>
              <w:spacing w:line="300" w:lineRule="exact"/>
              <w:jc w:val="left"/>
              <w:rPr>
                <w:szCs w:val="21"/>
              </w:rPr>
            </w:pPr>
            <w:r>
              <w:rPr>
                <w:rFonts w:hint="eastAsia"/>
                <w:szCs w:val="21"/>
              </w:rPr>
              <w:t>（1）供应商应于响应截止时间前将磋商保证金以电汇、转账形式从供应商账户一次性足额缴纳至本项目对应的专用虚拟账号，所交纳的磋商保证金仅限当次项目有效，不得重复替代使用。本项目磋商保证金缴纳专用虚拟账号信息如下：</w:t>
            </w:r>
          </w:p>
          <w:p>
            <w:pPr>
              <w:spacing w:line="300" w:lineRule="exact"/>
              <w:jc w:val="left"/>
              <w:rPr>
                <w:rFonts w:hint="eastAsia"/>
                <w:szCs w:val="21"/>
              </w:rPr>
            </w:pPr>
            <w:r>
              <w:rPr>
                <w:rFonts w:hint="eastAsia"/>
                <w:szCs w:val="21"/>
              </w:rPr>
              <w:t>开户名称：广西桂工建设管理咨询有限公司；</w:t>
            </w:r>
          </w:p>
          <w:p>
            <w:pPr>
              <w:spacing w:line="300" w:lineRule="exact"/>
              <w:jc w:val="left"/>
              <w:rPr>
                <w:rFonts w:hint="eastAsia"/>
                <w:szCs w:val="21"/>
              </w:rPr>
            </w:pPr>
            <w:r>
              <w:rPr>
                <w:rFonts w:hint="eastAsia"/>
                <w:szCs w:val="21"/>
              </w:rPr>
              <w:t>开户行：中国建设银行股份有限公司南宁朝阳支行；</w:t>
            </w:r>
          </w:p>
          <w:p>
            <w:pPr>
              <w:spacing w:line="300" w:lineRule="exact"/>
              <w:jc w:val="left"/>
              <w:rPr>
                <w:rFonts w:hint="eastAsia"/>
                <w:szCs w:val="21"/>
              </w:rPr>
            </w:pPr>
            <w:r>
              <w:rPr>
                <w:rFonts w:hint="eastAsia"/>
                <w:szCs w:val="21"/>
              </w:rPr>
              <w:t>账号：4505 0160 4473 0998 8888</w:t>
            </w:r>
          </w:p>
          <w:p>
            <w:pPr>
              <w:spacing w:line="300" w:lineRule="exact"/>
              <w:jc w:val="left"/>
              <w:rPr>
                <w:szCs w:val="21"/>
              </w:rPr>
            </w:pPr>
            <w:r>
              <w:rPr>
                <w:rFonts w:hint="eastAsia"/>
                <w:szCs w:val="21"/>
              </w:rPr>
              <w:t>（2）磋商保证金币种应与响应报价币种相同。磋商保证金缴纳后无需开具收据，供应商应在响应文件中放入转账底单或电汇凭证的复印件，必须在响应截止时间之前到达指定账号，其到账时间以银行确认的到账时间为准。</w:t>
            </w:r>
          </w:p>
          <w:p>
            <w:pPr>
              <w:spacing w:line="300" w:lineRule="exact"/>
              <w:jc w:val="left"/>
              <w:rPr>
                <w:szCs w:val="21"/>
              </w:rPr>
            </w:pPr>
            <w:r>
              <w:rPr>
                <w:rFonts w:hint="eastAsia"/>
                <w:szCs w:val="21"/>
              </w:rPr>
              <w:t>（3）除采购文件规定不予退还保证金的情形外，采购代理机构在法定时间内通过银行原路退还保证金至供应商缴纳账户。供应商自行承担交纳保证金后未参加响应活动或磋商保证金缴纳错误而导致磋商保证金无法及时退还的责任。</w:t>
            </w:r>
          </w:p>
          <w:p>
            <w:pPr>
              <w:spacing w:line="300" w:lineRule="exact"/>
              <w:jc w:val="left"/>
              <w:rPr>
                <w:szCs w:val="21"/>
              </w:rPr>
            </w:pPr>
            <w:r>
              <w:rPr>
                <w:rFonts w:hint="eastAsia"/>
                <w:szCs w:val="21"/>
              </w:rPr>
              <w:t>2、缴纳方式二：</w:t>
            </w:r>
          </w:p>
          <w:p>
            <w:pPr>
              <w:spacing w:line="300" w:lineRule="exact"/>
              <w:jc w:val="left"/>
              <w:rPr>
                <w:szCs w:val="21"/>
              </w:rPr>
            </w:pPr>
            <w:r>
              <w:rPr>
                <w:rFonts w:hint="eastAsia"/>
                <w:szCs w:val="21"/>
              </w:rPr>
              <w:t>供应商可于响应截止时间前选择支票、汇票、本票或金融机构、担保机构出具的保函等非现金形式缴纳的，供应商应在响应文件中放入支票、汇票、本票或金融机构、担保机构出具的保函的复印件，保函出具格式详见第六章响应文件格式，在响应截止时间前，供应商必须以现场提交或邮寄方式向采购代理机构递交支票、汇票、本票或者保函原件，保证金原件放入一个密封袋中，并在封口处加盖供应商公章或被授权人签字，在封套上标记“项目名称（项目编号）响应保证金”字样。具体收件地址、收件人及联系电话详见磋商公告。</w:t>
            </w:r>
          </w:p>
          <w:p>
            <w:pPr>
              <w:spacing w:line="300" w:lineRule="exact"/>
              <w:jc w:val="left"/>
              <w:rPr>
                <w:szCs w:val="21"/>
              </w:rPr>
            </w:pPr>
            <w:r>
              <w:rPr>
                <w:rFonts w:hint="eastAsia"/>
                <w:szCs w:val="21"/>
              </w:rPr>
              <w:t>3、响应保证金有下列情形之一的，视为保证金无效：</w:t>
            </w:r>
          </w:p>
          <w:p>
            <w:pPr>
              <w:spacing w:line="300" w:lineRule="exact"/>
              <w:jc w:val="left"/>
              <w:rPr>
                <w:szCs w:val="21"/>
              </w:rPr>
            </w:pPr>
            <w:r>
              <w:rPr>
                <w:rFonts w:hint="eastAsia"/>
                <w:szCs w:val="21"/>
              </w:rPr>
              <w:t>（1）保证金在响应截止时间后提交的，或者不按规定交纳方式交纳的，或者未足额交纳的（包含保函额度不足的）的；</w:t>
            </w:r>
          </w:p>
          <w:p>
            <w:pPr>
              <w:spacing w:line="300" w:lineRule="exact"/>
              <w:jc w:val="left"/>
              <w:rPr>
                <w:szCs w:val="21"/>
              </w:rPr>
            </w:pPr>
            <w:r>
              <w:rPr>
                <w:rFonts w:hint="eastAsia"/>
                <w:szCs w:val="21"/>
              </w:rPr>
              <w:t>（2）支票、汇票或者本票出现无效或者背书情形的；</w:t>
            </w:r>
          </w:p>
          <w:p>
            <w:pPr>
              <w:spacing w:line="300" w:lineRule="exact"/>
              <w:jc w:val="left"/>
              <w:rPr>
                <w:szCs w:val="21"/>
              </w:rPr>
            </w:pPr>
            <w:r>
              <w:rPr>
                <w:rFonts w:hint="eastAsia"/>
                <w:szCs w:val="21"/>
              </w:rPr>
              <w:t>（3）保函有效期低于响应有效期的；</w:t>
            </w:r>
          </w:p>
          <w:p>
            <w:pPr>
              <w:spacing w:line="300" w:lineRule="exact"/>
              <w:jc w:val="left"/>
              <w:rPr>
                <w:szCs w:val="21"/>
              </w:rPr>
            </w:pPr>
            <w:r>
              <w:rPr>
                <w:rFonts w:hint="eastAsia"/>
                <w:szCs w:val="21"/>
              </w:rPr>
              <w:t>（4）非金融机构、担保机构出具保函的、非无条件保函的。</w:t>
            </w:r>
          </w:p>
          <w:p>
            <w:pPr>
              <w:spacing w:line="300" w:lineRule="exact"/>
              <w:jc w:val="left"/>
              <w:rPr>
                <w:b/>
                <w:bCs/>
                <w:szCs w:val="21"/>
              </w:rPr>
            </w:pPr>
            <w:r>
              <w:rPr>
                <w:rFonts w:hint="eastAsia"/>
                <w:szCs w:val="21"/>
              </w:rPr>
              <w:t>注：为保证磋商保证金退还的及时性与便利性，鼓励优先采用方式一递交磋商保证金。</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3</w:t>
            </w:r>
            <w:r>
              <w:rPr>
                <w:b/>
                <w:szCs w:val="21"/>
              </w:rPr>
              <w:t>.6</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响应文件的编制</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响应文件应按第六章响应文件格式分别编制。正本1份，副本</w:t>
            </w:r>
            <w:r>
              <w:rPr>
                <w:rFonts w:hint="eastAsia"/>
                <w:szCs w:val="21"/>
                <w:lang w:val="en-US" w:eastAsia="zh-CN"/>
              </w:rPr>
              <w:t>3</w:t>
            </w:r>
            <w:r>
              <w:rPr>
                <w:rFonts w:hint="eastAsia"/>
                <w:szCs w:val="21"/>
              </w:rPr>
              <w:t>份。</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3.7</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响应文件递交</w:t>
            </w:r>
            <w:r>
              <w:rPr>
                <w:rFonts w:hint="eastAsia"/>
                <w:szCs w:val="21"/>
              </w:rPr>
              <w:t>截止时间及截标时间</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kern w:val="0"/>
                <w:szCs w:val="21"/>
              </w:rPr>
              <w:t>见磋商公告要求</w:t>
            </w:r>
            <w:r>
              <w:rPr>
                <w:rFonts w:hint="eastAsia"/>
                <w:szCs w:val="21"/>
              </w:rPr>
              <w:t>。</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4</w:t>
            </w:r>
            <w:r>
              <w:rPr>
                <w:b/>
                <w:szCs w:val="21"/>
              </w:rPr>
              <w:t>.2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0"/>
              </w:rPr>
            </w:pPr>
            <w:r>
              <w:rPr>
                <w:rFonts w:hint="eastAsia"/>
                <w:szCs w:val="21"/>
              </w:rPr>
              <w:t>备份响应文件</w:t>
            </w:r>
          </w:p>
        </w:tc>
        <w:tc>
          <w:tcPr>
            <w:tcW w:w="6905" w:type="dxa"/>
            <w:tcBorders>
              <w:top w:val="single" w:sz="4" w:space="0" w:color="auto"/>
              <w:left w:val="single" w:sz="4" w:space="0" w:color="auto"/>
              <w:bottom w:val="single" w:sz="4" w:space="0" w:color="auto"/>
              <w:right w:val="single" w:sz="4" w:space="0" w:color="auto"/>
            </w:tcBorders>
            <w:vAlign w:val="center"/>
          </w:tcPr>
          <w:p>
            <w:pPr>
              <w:spacing w:line="276" w:lineRule="auto"/>
              <w:rPr>
                <w:rFonts w:ascii="宋体" w:hint="eastAsia"/>
                <w:szCs w:val="21"/>
              </w:rPr>
            </w:pPr>
            <w:r>
              <w:rPr>
                <w:rFonts w:ascii="宋体" w:hint="eastAsia"/>
                <w:szCs w:val="21"/>
              </w:rPr>
              <w:t>本项目</w:t>
            </w:r>
            <w:r>
              <w:rPr>
                <w:rFonts w:hint="eastAsia"/>
                <w:szCs w:val="21"/>
              </w:rPr>
              <w:t>不接受</w:t>
            </w:r>
            <w:r>
              <w:rPr>
                <w:rFonts w:ascii="宋体" w:hint="eastAsia"/>
                <w:szCs w:val="21"/>
              </w:rPr>
              <w:t>备份响应文件</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4</w:t>
            </w:r>
            <w:r>
              <w:rPr>
                <w:b/>
                <w:szCs w:val="21"/>
              </w:rPr>
              <w:t>.3</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0"/>
              </w:rPr>
              <w:t>演示</w:t>
            </w:r>
          </w:p>
        </w:tc>
        <w:tc>
          <w:tcPr>
            <w:tcW w:w="6905" w:type="dxa"/>
            <w:tcBorders>
              <w:top w:val="single" w:sz="4" w:space="0" w:color="auto"/>
              <w:left w:val="single" w:sz="4" w:space="0" w:color="auto"/>
              <w:bottom w:val="single" w:sz="4" w:space="0" w:color="auto"/>
              <w:right w:val="single" w:sz="4" w:space="0" w:color="auto"/>
            </w:tcBorders>
            <w:vAlign w:val="center"/>
          </w:tcPr>
          <w:p>
            <w:pPr>
              <w:spacing w:line="276" w:lineRule="auto"/>
              <w:rPr>
                <w:szCs w:val="21"/>
              </w:rPr>
            </w:pPr>
            <w:r>
              <w:rPr>
                <w:rFonts w:hint="eastAsia"/>
                <w:szCs w:val="21"/>
              </w:rPr>
              <w:t>否</w:t>
            </w:r>
            <w:r>
              <w:rPr>
                <w:szCs w:val="21"/>
              </w:rPr>
              <w:t xml:space="preserve"> </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4</w:t>
            </w:r>
            <w:r>
              <w:rPr>
                <w:b/>
                <w:szCs w:val="21"/>
              </w:rPr>
              <w:t>.4</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0"/>
              </w:rPr>
              <w:t>样品</w:t>
            </w:r>
          </w:p>
        </w:tc>
        <w:tc>
          <w:tcPr>
            <w:tcW w:w="6905" w:type="dxa"/>
            <w:tcBorders>
              <w:top w:val="single" w:sz="4" w:space="0" w:color="auto"/>
              <w:left w:val="single" w:sz="4" w:space="0" w:color="auto"/>
              <w:bottom w:val="single" w:sz="4" w:space="0" w:color="auto"/>
              <w:right w:val="single" w:sz="4" w:space="0" w:color="auto"/>
            </w:tcBorders>
            <w:vAlign w:val="center"/>
          </w:tcPr>
          <w:p>
            <w:pPr>
              <w:spacing w:line="276" w:lineRule="auto"/>
              <w:rPr>
                <w:szCs w:val="21"/>
              </w:rPr>
            </w:pPr>
            <w:r>
              <w:rPr>
                <w:rFonts w:hint="eastAsia"/>
                <w:szCs w:val="21"/>
              </w:rPr>
              <w:t>否</w:t>
            </w:r>
            <w:r>
              <w:rPr>
                <w:szCs w:val="21"/>
              </w:rPr>
              <w:t xml:space="preserve"> </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6.5.1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结果</w:t>
            </w:r>
            <w:r>
              <w:rPr>
                <w:szCs w:val="21"/>
              </w:rPr>
              <w:t>公告</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采购代理机构在采购人依法确认</w:t>
            </w:r>
            <w:r>
              <w:rPr>
                <w:rFonts w:hint="eastAsia"/>
                <w:szCs w:val="21"/>
              </w:rPr>
              <w:t>成交供应商</w:t>
            </w:r>
            <w:r>
              <w:rPr>
                <w:szCs w:val="21"/>
              </w:rPr>
              <w:t>后2个工作日内在</w:t>
            </w:r>
            <w:r>
              <w:rPr>
                <w:rFonts w:hint="eastAsia"/>
                <w:szCs w:val="21"/>
              </w:rPr>
              <w:t>磋商</w:t>
            </w:r>
            <w:r>
              <w:rPr>
                <w:szCs w:val="21"/>
              </w:rPr>
              <w:t>公告发布的媒体上发布</w:t>
            </w:r>
            <w:r>
              <w:rPr>
                <w:rFonts w:hint="eastAsia"/>
                <w:szCs w:val="21"/>
              </w:rPr>
              <w:t>结果</w:t>
            </w:r>
            <w:r>
              <w:rPr>
                <w:szCs w:val="21"/>
              </w:rPr>
              <w:t>公告</w:t>
            </w:r>
            <w:r>
              <w:rPr>
                <w:rFonts w:hint="eastAsia"/>
                <w:szCs w:val="21"/>
              </w:rPr>
              <w:t>。</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6.5.2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1"/>
              </w:rPr>
              <w:t>成交通知书</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采购代理机构通过线下发出</w:t>
            </w:r>
            <w:r>
              <w:rPr>
                <w:szCs w:val="21"/>
              </w:rPr>
              <w:t>成交通知书。</w:t>
            </w:r>
          </w:p>
          <w:p>
            <w:pPr>
              <w:spacing w:line="300" w:lineRule="exact"/>
              <w:jc w:val="left"/>
              <w:rPr>
                <w:szCs w:val="21"/>
              </w:rPr>
            </w:pPr>
            <w:r>
              <w:rPr>
                <w:rFonts w:hint="eastAsia"/>
                <w:szCs w:val="21"/>
              </w:rPr>
              <w:t>成交通知书在发出之日起，视为成交供应商已收到，成交供应商自行承担未及时查收的后果。</w:t>
            </w:r>
          </w:p>
        </w:tc>
      </w:tr>
      <w:tr>
        <w:trPr>
          <w:trHeight w:val="290"/>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rFonts w:hint="eastAsia"/>
                <w:b/>
                <w:szCs w:val="21"/>
              </w:rPr>
              <w:t>7</w:t>
            </w:r>
            <w:r>
              <w:rPr>
                <w:b/>
                <w:szCs w:val="21"/>
              </w:rPr>
              <w:t>.2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合同签订</w:t>
            </w:r>
          </w:p>
        </w:tc>
        <w:tc>
          <w:tcPr>
            <w:tcW w:w="6905" w:type="dxa"/>
            <w:tcBorders>
              <w:top w:val="single" w:sz="4" w:space="0" w:color="auto"/>
              <w:left w:val="single" w:sz="4" w:space="0" w:color="auto"/>
              <w:bottom w:val="single" w:sz="4" w:space="0" w:color="auto"/>
              <w:right w:val="single" w:sz="4" w:space="0" w:color="auto"/>
            </w:tcBorders>
            <w:vAlign w:val="center"/>
          </w:tcPr>
          <w:p>
            <w:pPr>
              <w:rPr>
                <w:szCs w:val="21"/>
              </w:rPr>
            </w:pPr>
            <w:r>
              <w:rPr>
                <w:rFonts w:hint="eastAsia"/>
                <w:szCs w:val="21"/>
              </w:rPr>
              <w:t>采购人应当自成交通知书发出之日起25日内按照采购文件和</w:t>
            </w:r>
            <w:r>
              <w:rPr>
                <w:szCs w:val="21"/>
              </w:rPr>
              <w:t>成交供应商</w:t>
            </w:r>
            <w:r>
              <w:rPr>
                <w:rFonts w:hint="eastAsia"/>
                <w:szCs w:val="21"/>
              </w:rPr>
              <w:t>响应文件的规定，与</w:t>
            </w:r>
            <w:r>
              <w:rPr>
                <w:szCs w:val="21"/>
              </w:rPr>
              <w:t>成交供应商</w:t>
            </w:r>
            <w:r>
              <w:rPr>
                <w:rFonts w:hint="eastAsia"/>
                <w:szCs w:val="21"/>
              </w:rPr>
              <w:t>签订书面合同。</w:t>
            </w:r>
          </w:p>
        </w:tc>
      </w:tr>
      <w:tr>
        <w:trPr>
          <w:trHeight w:val="405"/>
        </w:trP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8.1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质疑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（1）供应商</w:t>
            </w:r>
            <w:r>
              <w:rPr>
                <w:szCs w:val="21"/>
              </w:rPr>
              <w:t>认为</w:t>
            </w:r>
            <w:r>
              <w:rPr>
                <w:rFonts w:hint="eastAsia"/>
                <w:szCs w:val="21"/>
              </w:rPr>
              <w:t>采购文件</w:t>
            </w:r>
            <w:r>
              <w:rPr>
                <w:szCs w:val="21"/>
              </w:rPr>
              <w:t>、</w:t>
            </w:r>
            <w:r>
              <w:rPr>
                <w:rFonts w:hint="eastAsia"/>
                <w:szCs w:val="21"/>
              </w:rPr>
              <w:t>采购</w:t>
            </w:r>
            <w:r>
              <w:rPr>
                <w:szCs w:val="21"/>
              </w:rPr>
              <w:t>过程、中标</w:t>
            </w:r>
            <w:r>
              <w:rPr>
                <w:rFonts w:hint="eastAsia"/>
                <w:szCs w:val="21"/>
              </w:rPr>
              <w:t>或者成交</w:t>
            </w:r>
            <w:r>
              <w:rPr>
                <w:szCs w:val="21"/>
              </w:rPr>
              <w:t>结果使自己的权益受到损害的，可以在知道或者应知其权益受到损害之日起7个工作日内，</w:t>
            </w:r>
            <w:r>
              <w:rPr>
                <w:rFonts w:hint="eastAsia"/>
                <w:szCs w:val="21"/>
              </w:rPr>
              <w:t>通过以下方式</w:t>
            </w:r>
            <w:r>
              <w:rPr>
                <w:szCs w:val="21"/>
              </w:rPr>
              <w:t>向采购人、采购代理机构提出质疑。提出质疑的</w:t>
            </w:r>
            <w:r>
              <w:rPr>
                <w:rFonts w:hint="eastAsia"/>
                <w:szCs w:val="21"/>
              </w:rPr>
              <w:t>供应商</w:t>
            </w:r>
            <w:r>
              <w:rPr>
                <w:szCs w:val="21"/>
              </w:rPr>
              <w:t>必须是参与本项目采购活动的供应商</w:t>
            </w:r>
            <w:r>
              <w:rPr>
                <w:rFonts w:hint="eastAsia"/>
                <w:szCs w:val="21"/>
              </w:rPr>
              <w:t>，并须在</w:t>
            </w:r>
            <w:r>
              <w:rPr>
                <w:szCs w:val="21"/>
              </w:rPr>
              <w:t>法定质疑期内一次性提出针对同一采购程序环节的质疑。质疑函应使用财政部发布的</w:t>
            </w:r>
            <w:r>
              <w:rPr>
                <w:rFonts w:hint="eastAsia"/>
                <w:szCs w:val="21"/>
              </w:rPr>
              <w:t>政府采购供应商质疑函范本，并应按照“质疑函制作说明”进行制作。</w:t>
            </w:r>
          </w:p>
          <w:p>
            <w:pPr>
              <w:spacing w:line="300" w:lineRule="exact"/>
              <w:jc w:val="left"/>
              <w:rPr>
                <w:szCs w:val="21"/>
              </w:rPr>
            </w:pPr>
            <w:r>
              <w:rPr>
                <w:rFonts w:hint="eastAsia"/>
                <w:szCs w:val="21"/>
              </w:rPr>
              <w:t>（2）本项目不接受传真、移动通信、邮件等方式送达的质疑材料，供应商可通过现场或邮寄方式递交书面质疑材料。供应商应于质疑有效期内将质疑函原件递交或邮寄至磋商公告中采购代理机构信息中的联系人。</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9.1</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szCs w:val="20"/>
              </w:rPr>
              <w:t>代理服务费</w:t>
            </w:r>
          </w:p>
        </w:tc>
        <w:tc>
          <w:tcPr>
            <w:tcW w:w="6905" w:type="dxa"/>
            <w:tcBorders>
              <w:top w:val="single" w:sz="4" w:space="0" w:color="auto"/>
              <w:left w:val="single" w:sz="4" w:space="0" w:color="auto"/>
              <w:bottom w:val="single" w:sz="4" w:space="0" w:color="auto"/>
              <w:right w:val="single" w:sz="4" w:space="0" w:color="auto"/>
            </w:tcBorders>
            <w:vAlign w:val="center"/>
          </w:tcPr>
          <w:p>
            <w:pPr>
              <w:rPr>
                <w:szCs w:val="21"/>
              </w:rPr>
            </w:pPr>
            <w:r>
              <w:rPr>
                <w:szCs w:val="21"/>
              </w:rPr>
              <w:t>（1）</w:t>
            </w:r>
            <w:r>
              <w:rPr>
                <w:rFonts w:hint="eastAsia"/>
                <w:szCs w:val="21"/>
              </w:rPr>
              <w:t>代理服务费</w:t>
            </w:r>
          </w:p>
          <w:p>
            <w:pPr>
              <w:spacing w:line="300" w:lineRule="exact"/>
              <w:jc w:val="left"/>
              <w:rPr>
                <w:szCs w:val="21"/>
              </w:rPr>
            </w:pPr>
            <w:r>
              <w:rPr>
                <w:szCs w:val="21"/>
              </w:rPr>
              <w:sym w:font="Wingdings 2" w:char="A3"/>
            </w:r>
            <w:r>
              <w:rPr>
                <w:szCs w:val="21"/>
              </w:rPr>
              <w:t>采购代理机构向</w:t>
            </w:r>
            <w:r>
              <w:rPr>
                <w:rFonts w:hint="eastAsia"/>
                <w:szCs w:val="21"/>
              </w:rPr>
              <w:t>成交供应商</w:t>
            </w:r>
            <w:r>
              <w:rPr>
                <w:szCs w:val="21"/>
              </w:rPr>
              <w:t>收取代理服务费。本项目代理服务费</w:t>
            </w:r>
            <w:r>
              <w:rPr>
                <w:rFonts w:hint="eastAsia"/>
                <w:szCs w:val="21"/>
              </w:rPr>
              <w:t>按照</w:t>
            </w:r>
            <w:r>
              <w:rPr>
                <w:szCs w:val="21"/>
              </w:rPr>
              <w:t>《招标代理服务费管理暂行办法》 (计价格﹝2002﹞1980号)、《国家发展改革委关于降低部分建设项目收费标准规范收费行为等有关问题的通知》(发改价格﹝2011﹞534号)</w:t>
            </w:r>
            <w:r>
              <w:rPr>
                <w:rFonts w:hint="eastAsia"/>
                <w:szCs w:val="21"/>
              </w:rPr>
              <w:t>的</w:t>
            </w:r>
            <w:r>
              <w:rPr>
                <w:szCs w:val="21"/>
              </w:rPr>
              <w:t>规定</w:t>
            </w:r>
            <w:r>
              <w:rPr>
                <w:rFonts w:hint="eastAsia"/>
                <w:szCs w:val="21"/>
              </w:rPr>
              <w:t>采用</w:t>
            </w:r>
            <w:r>
              <w:rPr>
                <w:szCs w:val="21"/>
              </w:rPr>
              <w:t>差额定率累进</w:t>
            </w:r>
            <w:r>
              <w:rPr>
                <w:rFonts w:hint="eastAsia"/>
                <w:szCs w:val="21"/>
              </w:rPr>
              <w:t>法</w:t>
            </w:r>
            <w:r>
              <w:rPr>
                <w:szCs w:val="21"/>
              </w:rPr>
              <w:t>计算</w:t>
            </w:r>
            <w:r>
              <w:rPr>
                <w:rFonts w:hint="eastAsia"/>
                <w:szCs w:val="21"/>
              </w:rPr>
              <w:t>。</w:t>
            </w:r>
            <w:r>
              <w:rPr>
                <w:szCs w:val="21"/>
              </w:rPr>
              <w:t>具体费率</w:t>
            </w:r>
            <w:r>
              <w:rPr>
                <w:rFonts w:hint="eastAsia"/>
                <w:szCs w:val="21"/>
              </w:rPr>
              <w:t>如下：</w:t>
            </w:r>
          </w:p>
          <w:p>
            <w:pPr>
              <w:spacing w:line="300" w:lineRule="exact"/>
              <w:jc w:val="left"/>
              <w:rPr>
                <w:szCs w:val="21"/>
              </w:rPr>
            </w:pPr>
            <w:r>
              <w:rPr>
                <w:rFonts w:hint="eastAsia"/>
                <w:szCs w:val="21"/>
              </w:rPr>
              <w:t>①成交金额在1</w:t>
            </w:r>
            <w:r>
              <w:rPr>
                <w:szCs w:val="21"/>
              </w:rPr>
              <w:t>00</w:t>
            </w:r>
            <w:r>
              <w:rPr>
                <w:rFonts w:hint="eastAsia"/>
                <w:szCs w:val="21"/>
              </w:rPr>
              <w:t>万元以下的：</w:t>
            </w:r>
          </w:p>
          <w:p>
            <w:pPr>
              <w:spacing w:line="300" w:lineRule="exact"/>
              <w:jc w:val="left"/>
              <w:rPr>
                <w:szCs w:val="21"/>
              </w:rPr>
            </w:pPr>
            <w:r>
              <w:rPr>
                <w:rFonts w:hint="eastAsia"/>
                <w:szCs w:val="21"/>
              </w:rPr>
              <w:t>货物</w:t>
            </w:r>
            <w:r>
              <w:rPr>
                <w:szCs w:val="21"/>
              </w:rPr>
              <w:t>1.5％</w:t>
            </w:r>
            <w:r>
              <w:rPr>
                <w:rFonts w:hint="eastAsia"/>
                <w:szCs w:val="21"/>
              </w:rPr>
              <w:t>；</w:t>
            </w:r>
            <w:r>
              <w:rPr>
                <w:szCs w:val="21"/>
              </w:rPr>
              <w:t>服务招标1.5％</w:t>
            </w:r>
            <w:r>
              <w:rPr>
                <w:rFonts w:hint="eastAsia"/>
                <w:szCs w:val="21"/>
              </w:rPr>
              <w:t>；</w:t>
            </w:r>
            <w:r>
              <w:rPr>
                <w:szCs w:val="21"/>
              </w:rPr>
              <w:t>工程招标1.0％</w:t>
            </w:r>
            <w:r>
              <w:rPr>
                <w:rFonts w:hint="eastAsia"/>
                <w:szCs w:val="21"/>
              </w:rPr>
              <w:t>；</w:t>
            </w:r>
          </w:p>
          <w:p>
            <w:pPr>
              <w:spacing w:line="300" w:lineRule="exact"/>
              <w:jc w:val="left"/>
              <w:rPr>
                <w:szCs w:val="21"/>
              </w:rPr>
            </w:pPr>
            <w:r>
              <w:rPr>
                <w:rFonts w:hint="eastAsia"/>
                <w:szCs w:val="21"/>
              </w:rPr>
              <w:t>②成交金额在</w:t>
            </w:r>
            <w:r>
              <w:rPr>
                <w:szCs w:val="21"/>
              </w:rPr>
              <w:t>100-500</w:t>
            </w:r>
            <w:r>
              <w:rPr>
                <w:rFonts w:hint="eastAsia"/>
                <w:szCs w:val="21"/>
              </w:rPr>
              <w:t>万元之间：</w:t>
            </w:r>
          </w:p>
          <w:p>
            <w:pPr>
              <w:spacing w:line="300" w:lineRule="exact"/>
              <w:jc w:val="left"/>
              <w:rPr>
                <w:szCs w:val="21"/>
              </w:rPr>
            </w:pPr>
            <w:r>
              <w:rPr>
                <w:rFonts w:hint="eastAsia"/>
                <w:szCs w:val="21"/>
              </w:rPr>
              <w:t>货物</w:t>
            </w:r>
            <w:r>
              <w:rPr>
                <w:szCs w:val="21"/>
              </w:rPr>
              <w:t>1.1％</w:t>
            </w:r>
            <w:r>
              <w:rPr>
                <w:rFonts w:hint="eastAsia"/>
                <w:szCs w:val="21"/>
              </w:rPr>
              <w:t>；</w:t>
            </w:r>
            <w:r>
              <w:rPr>
                <w:szCs w:val="21"/>
              </w:rPr>
              <w:t>服务招标0.8％</w:t>
            </w:r>
            <w:r>
              <w:rPr>
                <w:rFonts w:hint="eastAsia"/>
                <w:szCs w:val="21"/>
              </w:rPr>
              <w:t>；</w:t>
            </w:r>
            <w:r>
              <w:rPr>
                <w:szCs w:val="21"/>
              </w:rPr>
              <w:t>工程招标0.7％</w:t>
            </w:r>
            <w:r>
              <w:rPr>
                <w:rFonts w:hint="eastAsia"/>
                <w:szCs w:val="21"/>
              </w:rPr>
              <w:t>；</w:t>
            </w:r>
          </w:p>
          <w:p>
            <w:pPr>
              <w:spacing w:line="300" w:lineRule="exact"/>
              <w:jc w:val="left"/>
              <w:rPr>
                <w:szCs w:val="21"/>
              </w:rPr>
            </w:pPr>
            <w:r>
              <w:rPr>
                <w:rFonts w:hint="eastAsia"/>
                <w:szCs w:val="21"/>
              </w:rPr>
              <w:t>③成交金额在</w:t>
            </w:r>
            <w:r>
              <w:rPr>
                <w:szCs w:val="21"/>
              </w:rPr>
              <w:t>5</w:t>
            </w:r>
            <w:r>
              <w:rPr>
                <w:rFonts w:hint="eastAsia"/>
                <w:szCs w:val="21"/>
              </w:rPr>
              <w:t>0</w:t>
            </w:r>
            <w:r>
              <w:rPr>
                <w:szCs w:val="21"/>
              </w:rPr>
              <w:t>0-1</w:t>
            </w:r>
            <w:r>
              <w:rPr>
                <w:rFonts w:hint="eastAsia"/>
                <w:szCs w:val="21"/>
              </w:rPr>
              <w:t>00</w:t>
            </w:r>
            <w:r>
              <w:rPr>
                <w:szCs w:val="21"/>
              </w:rPr>
              <w:t>0</w:t>
            </w:r>
            <w:r>
              <w:rPr>
                <w:rFonts w:hint="eastAsia"/>
                <w:szCs w:val="21"/>
              </w:rPr>
              <w:t>万元之间：</w:t>
            </w:r>
          </w:p>
          <w:p>
            <w:pPr>
              <w:spacing w:line="300" w:lineRule="exact"/>
              <w:jc w:val="left"/>
              <w:rPr>
                <w:szCs w:val="21"/>
              </w:rPr>
            </w:pPr>
            <w:r>
              <w:rPr>
                <w:rFonts w:hint="eastAsia"/>
                <w:szCs w:val="21"/>
              </w:rPr>
              <w:t>货物</w:t>
            </w:r>
            <w:r>
              <w:rPr>
                <w:szCs w:val="21"/>
              </w:rPr>
              <w:t>0.8％</w:t>
            </w:r>
            <w:r>
              <w:rPr>
                <w:rFonts w:hint="eastAsia"/>
                <w:szCs w:val="21"/>
              </w:rPr>
              <w:t>；</w:t>
            </w:r>
            <w:r>
              <w:rPr>
                <w:szCs w:val="21"/>
              </w:rPr>
              <w:t>服务招标0.45％</w:t>
            </w:r>
            <w:r>
              <w:rPr>
                <w:rFonts w:hint="eastAsia"/>
                <w:szCs w:val="21"/>
              </w:rPr>
              <w:t>；</w:t>
            </w:r>
            <w:r>
              <w:rPr>
                <w:szCs w:val="21"/>
              </w:rPr>
              <w:t>工程招标0.55％</w:t>
            </w:r>
            <w:r>
              <w:rPr>
                <w:rFonts w:hint="eastAsia"/>
                <w:szCs w:val="21"/>
              </w:rPr>
              <w:t>；</w:t>
            </w:r>
          </w:p>
          <w:p>
            <w:pPr>
              <w:spacing w:line="300" w:lineRule="exact"/>
              <w:jc w:val="left"/>
              <w:rPr>
                <w:szCs w:val="21"/>
              </w:rPr>
            </w:pPr>
            <w:r>
              <w:rPr>
                <w:rFonts w:hint="eastAsia"/>
                <w:szCs w:val="21"/>
              </w:rPr>
              <w:t>④成交金额在</w:t>
            </w:r>
            <w:r>
              <w:rPr>
                <w:szCs w:val="21"/>
              </w:rPr>
              <w:t>1000-5000</w:t>
            </w:r>
            <w:r>
              <w:rPr>
                <w:rFonts w:hint="eastAsia"/>
                <w:szCs w:val="21"/>
              </w:rPr>
              <w:t>万元之间：</w:t>
            </w:r>
          </w:p>
          <w:p>
            <w:pPr>
              <w:spacing w:line="300" w:lineRule="exact"/>
              <w:jc w:val="left"/>
              <w:rPr>
                <w:szCs w:val="21"/>
              </w:rPr>
            </w:pPr>
            <w:r>
              <w:rPr>
                <w:rFonts w:hint="eastAsia"/>
                <w:szCs w:val="21"/>
              </w:rPr>
              <w:t>货物</w:t>
            </w:r>
            <w:r>
              <w:rPr>
                <w:szCs w:val="21"/>
              </w:rPr>
              <w:t>0.5％</w:t>
            </w:r>
            <w:r>
              <w:rPr>
                <w:rFonts w:hint="eastAsia"/>
                <w:szCs w:val="21"/>
              </w:rPr>
              <w:t>；</w:t>
            </w:r>
            <w:r>
              <w:rPr>
                <w:szCs w:val="21"/>
              </w:rPr>
              <w:t>服务招标0.25％</w:t>
            </w:r>
            <w:r>
              <w:rPr>
                <w:rFonts w:hint="eastAsia"/>
                <w:szCs w:val="21"/>
              </w:rPr>
              <w:t>；</w:t>
            </w:r>
            <w:r>
              <w:rPr>
                <w:szCs w:val="21"/>
              </w:rPr>
              <w:t>工程招标0.35％</w:t>
            </w:r>
            <w:r>
              <w:rPr>
                <w:rFonts w:hint="eastAsia"/>
                <w:szCs w:val="21"/>
              </w:rPr>
              <w:t>；</w:t>
            </w:r>
          </w:p>
          <w:p>
            <w:pPr>
              <w:spacing w:line="300" w:lineRule="exact"/>
              <w:jc w:val="left"/>
              <w:rPr>
                <w:szCs w:val="21"/>
              </w:rPr>
            </w:pPr>
            <w:r>
              <w:rPr>
                <w:rFonts w:hint="eastAsia"/>
                <w:szCs w:val="21"/>
              </w:rPr>
              <w:t>……</w:t>
            </w:r>
          </w:p>
          <w:p>
            <w:pPr>
              <w:spacing w:line="300" w:lineRule="exact"/>
              <w:jc w:val="left"/>
              <w:rPr>
                <w:szCs w:val="21"/>
              </w:rPr>
            </w:pPr>
            <w:r>
              <w:rPr>
                <w:szCs w:val="21"/>
              </w:rPr>
              <w:t>差额定率累进</w:t>
            </w:r>
            <w:r>
              <w:rPr>
                <w:rFonts w:hint="eastAsia"/>
                <w:szCs w:val="21"/>
              </w:rPr>
              <w:t>法</w:t>
            </w:r>
            <w:r>
              <w:rPr>
                <w:szCs w:val="21"/>
              </w:rPr>
              <w:t>计算</w:t>
            </w:r>
            <w:r>
              <w:rPr>
                <w:rFonts w:hint="eastAsia"/>
                <w:szCs w:val="21"/>
              </w:rPr>
              <w:t>过程示例：</w:t>
            </w:r>
          </w:p>
          <w:p>
            <w:pPr>
              <w:spacing w:line="360" w:lineRule="exact"/>
              <w:rPr>
                <w:kern w:val="0"/>
                <w:szCs w:val="21"/>
              </w:rPr>
            </w:pPr>
            <w:r>
              <w:rPr>
                <w:kern w:val="0"/>
                <w:szCs w:val="21"/>
              </w:rPr>
              <w:t>例如：某工程代理业务成交金额为300万元，代理服务费金额按如下计算：</w:t>
            </w:r>
          </w:p>
          <w:p>
            <w:pPr>
              <w:spacing w:line="300" w:lineRule="exact"/>
              <w:jc w:val="left"/>
              <w:rPr>
                <w:szCs w:val="21"/>
              </w:rPr>
            </w:pPr>
            <w:r>
              <w:rPr>
                <w:szCs w:val="21"/>
              </w:rPr>
              <w:t>100万元×1.0%＝1万元</w:t>
            </w:r>
          </w:p>
          <w:p>
            <w:pPr>
              <w:spacing w:line="300" w:lineRule="exact"/>
              <w:jc w:val="left"/>
              <w:rPr>
                <w:szCs w:val="21"/>
              </w:rPr>
            </w:pPr>
            <w:r>
              <w:rPr>
                <w:szCs w:val="21"/>
              </w:rPr>
              <w:t>（300－100）万元×0.7%＝1.4万元</w:t>
            </w:r>
          </w:p>
          <w:p>
            <w:pPr>
              <w:spacing w:line="300" w:lineRule="exact"/>
              <w:jc w:val="left"/>
              <w:rPr>
                <w:szCs w:val="21"/>
              </w:rPr>
            </w:pPr>
            <w:r>
              <w:rPr>
                <w:szCs w:val="21"/>
              </w:rPr>
              <w:t>合计收费＝1.0＋1.4=2.4万元</w:t>
            </w:r>
          </w:p>
          <w:p>
            <w:pPr>
              <w:spacing w:line="300" w:lineRule="exact"/>
              <w:jc w:val="left"/>
              <w:rPr>
                <w:szCs w:val="21"/>
                <w:u w:val="single"/>
              </w:rPr>
            </w:pPr>
            <w:r>
              <w:rPr>
                <w:szCs w:val="21"/>
              </w:rPr>
              <w:sym w:font="Wingdings 2" w:char="52"/>
            </w:r>
            <w:r>
              <w:rPr>
                <w:szCs w:val="21"/>
              </w:rPr>
              <w:t>采购代理机构收取代理服务费</w:t>
            </w:r>
            <w:r>
              <w:rPr>
                <w:rFonts w:hint="eastAsia"/>
                <w:szCs w:val="21"/>
              </w:rPr>
              <w:t>，</w:t>
            </w:r>
            <w:r>
              <w:rPr>
                <w:szCs w:val="21"/>
              </w:rPr>
              <w:t>具体金额为</w:t>
            </w:r>
            <w:r>
              <w:rPr>
                <w:rFonts w:hint="eastAsia"/>
                <w:szCs w:val="20"/>
                <w:u w:val="single"/>
              </w:rPr>
              <w:t xml:space="preserve"> 人民币壹万叁仟伍佰元整（¥13,500.00）</w:t>
            </w:r>
            <w:r>
              <w:rPr>
                <w:rFonts w:hint="eastAsia"/>
                <w:szCs w:val="20"/>
                <w:u w:val="single"/>
                <w:lang w:val="en-US" w:eastAsia="zh-CN"/>
              </w:rPr>
              <w:t xml:space="preserve"> </w:t>
            </w:r>
            <w:r>
              <w:rPr>
                <w:rFonts w:hint="eastAsia"/>
                <w:szCs w:val="20"/>
              </w:rPr>
              <w:t>。</w:t>
            </w:r>
          </w:p>
          <w:p>
            <w:pPr>
              <w:rPr>
                <w:rFonts w:ascii="Times New Roman" w:eastAsia="宋体" w:cs="Times New Roman" w:hAnsi="Times New Roman" w:hint="eastAsia"/>
                <w:szCs w:val="21"/>
              </w:rPr>
            </w:pPr>
            <w:r>
              <w:rPr>
                <w:rFonts w:ascii="Times New Roman" w:eastAsia="宋体" w:cs="Times New Roman" w:hAnsi="Times New Roman" w:hint="eastAsia"/>
                <w:szCs w:val="21"/>
              </w:rPr>
              <w:t>（2）</w:t>
            </w:r>
            <w:r>
              <w:rPr>
                <w:rFonts w:ascii="Times New Roman" w:eastAsia="宋体" w:cs="Times New Roman" w:hAnsi="Times New Roman" w:hint="eastAsia"/>
                <w:szCs w:val="21"/>
                <w:lang w:val="en-US" w:eastAsia="zh-CN"/>
              </w:rPr>
              <w:t>采购</w:t>
            </w:r>
            <w:r>
              <w:rPr>
                <w:rFonts w:ascii="Times New Roman" w:eastAsia="宋体" w:cs="Times New Roman" w:hAnsi="Times New Roman" w:hint="eastAsia"/>
                <w:szCs w:val="21"/>
              </w:rPr>
              <w:t>代理服务费支付方式：</w:t>
            </w:r>
          </w:p>
          <w:p>
            <w:pPr>
              <w:rPr>
                <w:rFonts w:ascii="Times New Roman" w:eastAsia="宋体" w:cs="Times New Roman" w:hAnsi="Times New Roman" w:hint="eastAsia"/>
                <w:szCs w:val="21"/>
              </w:rPr>
            </w:pPr>
            <w:r>
              <w:rPr>
                <w:rFonts w:ascii="Times New Roman" w:eastAsia="宋体" w:cs="Times New Roman" w:hAnsi="Times New Roman" w:hint="eastAsia"/>
                <w:szCs w:val="21"/>
              </w:rPr>
              <w:t>开户名称：广西桂工建设管理咨询有限公司</w:t>
            </w:r>
          </w:p>
          <w:p>
            <w:pPr>
              <w:rPr>
                <w:rFonts w:ascii="Times New Roman" w:eastAsia="宋体" w:cs="Times New Roman" w:hAnsi="Times New Roman" w:hint="eastAsia"/>
                <w:szCs w:val="21"/>
              </w:rPr>
            </w:pPr>
            <w:r>
              <w:rPr>
                <w:rFonts w:ascii="Times New Roman" w:eastAsia="宋体" w:cs="Times New Roman" w:hAnsi="Times New Roman" w:hint="eastAsia"/>
                <w:szCs w:val="21"/>
              </w:rPr>
              <w:t>开户行：中国建设银行股份有限公司南宁朝阳支行</w:t>
            </w:r>
          </w:p>
          <w:p>
            <w:pPr>
              <w:rPr>
                <w:szCs w:val="21"/>
              </w:rPr>
            </w:pPr>
            <w:r>
              <w:rPr>
                <w:rFonts w:ascii="Times New Roman" w:eastAsia="宋体" w:cs="Times New Roman" w:hAnsi="Times New Roman" w:hint="eastAsia"/>
                <w:szCs w:val="21"/>
              </w:rPr>
              <w:t>账号：4505 0160 4473 0998 8888</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9.</w:t>
            </w:r>
            <w:r>
              <w:rPr>
                <w:rFonts w:hint="eastAsia"/>
                <w:b/>
                <w:szCs w:val="21"/>
              </w:rPr>
              <w:t>2</w:t>
            </w:r>
          </w:p>
        </w:tc>
        <w:tc>
          <w:tcPr>
            <w:tcW w:w="120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rFonts w:hint="eastAsia"/>
                <w:szCs w:val="21"/>
              </w:rPr>
              <w:t>履约保证金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szCs w:val="21"/>
              </w:rPr>
              <w:t>履约保证金的形式：</w:t>
            </w:r>
            <w:r>
              <w:rPr>
                <w:rFonts w:hint="eastAsia"/>
                <w:szCs w:val="21"/>
              </w:rPr>
              <w:t>可以采用现金、银行保函、工程担保、电子保函或保证保险等形式</w:t>
            </w:r>
          </w:p>
          <w:p>
            <w:pPr>
              <w:spacing w:line="300" w:lineRule="exact"/>
              <w:jc w:val="left"/>
              <w:rPr>
                <w:szCs w:val="21"/>
                <w:highlight w:val="yellow"/>
              </w:rPr>
            </w:pPr>
            <w:r>
              <w:rPr>
                <w:szCs w:val="21"/>
                <w:highlight w:val="yellow"/>
              </w:rPr>
              <w:t>履约保证金的金额：</w:t>
            </w:r>
            <w:r>
              <w:rPr>
                <w:rFonts w:hint="eastAsia"/>
                <w:szCs w:val="21"/>
                <w:highlight w:val="yellow"/>
              </w:rPr>
              <w:t>本项目不收取履约保证金。</w:t>
            </w:r>
          </w:p>
          <w:p>
            <w:pPr>
              <w:spacing w:line="300" w:lineRule="exact"/>
              <w:jc w:val="left"/>
              <w:rPr>
                <w:szCs w:val="21"/>
              </w:rPr>
            </w:pPr>
            <w:r>
              <w:rPr>
                <w:szCs w:val="21"/>
              </w:rPr>
              <w:t>成交供应商在收到成交通知书后，须在7日内将履约保证金足额提交至</w:t>
            </w:r>
            <w:r>
              <w:rPr>
                <w:rFonts w:hint="eastAsia"/>
                <w:szCs w:val="21"/>
              </w:rPr>
              <w:t>采购人</w:t>
            </w:r>
            <w:r>
              <w:rPr>
                <w:szCs w:val="21"/>
              </w:rPr>
              <w:t>以下账户，否则采购人可以取消其成交资格</w:t>
            </w:r>
            <w:r>
              <w:rPr>
                <w:rFonts w:hint="eastAsia"/>
                <w:szCs w:val="21"/>
              </w:rPr>
              <w:t>。</w:t>
            </w:r>
          </w:p>
          <w:p>
            <w:pPr>
              <w:spacing w:line="300" w:lineRule="exact"/>
              <w:jc w:val="left"/>
              <w:rPr>
                <w:rFonts w:eastAsia="宋体" w:hint="eastAsia"/>
                <w:szCs w:val="21"/>
                <w:lang w:eastAsia="zh-CN"/>
              </w:rPr>
            </w:pPr>
            <w:r>
              <w:rPr>
                <w:szCs w:val="21"/>
              </w:rPr>
              <w:t>开户名称：</w:t>
            </w:r>
          </w:p>
          <w:p>
            <w:pPr>
              <w:spacing w:line="300" w:lineRule="exact"/>
              <w:jc w:val="left"/>
              <w:rPr>
                <w:szCs w:val="21"/>
              </w:rPr>
            </w:pPr>
            <w:r>
              <w:rPr>
                <w:szCs w:val="21"/>
              </w:rPr>
              <w:t>开户银行：</w:t>
            </w:r>
          </w:p>
          <w:p>
            <w:pPr>
              <w:spacing w:line="300" w:lineRule="exact"/>
              <w:jc w:val="left"/>
              <w:rPr>
                <w:szCs w:val="21"/>
              </w:rPr>
            </w:pPr>
            <w:r>
              <w:rPr>
                <w:szCs w:val="21"/>
              </w:rPr>
              <w:t>银行账号：</w:t>
            </w:r>
          </w:p>
          <w:p>
            <w:pPr>
              <w:spacing w:line="300" w:lineRule="exact"/>
              <w:jc w:val="left"/>
              <w:rPr>
                <w:szCs w:val="21"/>
              </w:rPr>
            </w:pPr>
            <w:r>
              <w:rPr>
                <w:rFonts w:hint="eastAsia"/>
                <w:szCs w:val="21"/>
              </w:rPr>
              <w:t>履约保证金退还方式：详见专用合同条款相关规定。</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szCs w:val="21"/>
              </w:rPr>
            </w:pPr>
            <w:r>
              <w:rPr>
                <w:b/>
                <w:szCs w:val="21"/>
              </w:rPr>
              <w:t>9.3</w:t>
            </w:r>
          </w:p>
        </w:tc>
        <w:tc>
          <w:tcPr>
            <w:tcW w:w="1204"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szCs w:val="21"/>
              </w:rPr>
              <w:t>农民工工资保障金</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ascii="宋体" w:hint="eastAsia"/>
              </w:rPr>
              <w:t>按广西壮族自治区人力资源和社会保障厅等8部门《关于印发广西壮族自治区工程建设领域农民工工资专用帐户管理暂行办法实施细则的通知》（桂人社规[2022]5号）执行，承包人在合同签订之日起30日内，自主选择在自治区行政区域内依法设立或设有分支机构的银行开立专用帐户。办理得施工许可证后，按照《关于印发广西壮族自治区工程建设领域农民工工资保证金规定实施办法的通知》桂人社规[2021]16号）缴存保证金，也可以使用银行保函。工程竣工验收结算经审定后，按照规定程序，将农民工工资保证金没有使用或剩余的金额退还给承包人。</w:t>
            </w:r>
          </w:p>
        </w:tc>
      </w:tr>
      <w:tr>
        <w:tc>
          <w:tcPr>
            <w:tcW w:w="1354"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b/>
                <w:szCs w:val="21"/>
              </w:rPr>
            </w:pPr>
            <w:r>
              <w:rPr>
                <w:b/>
                <w:szCs w:val="21"/>
              </w:rPr>
              <w:t>9.</w:t>
            </w:r>
            <w:r>
              <w:rPr>
                <w:rFonts w:hint="eastAsia"/>
                <w:b/>
                <w:szCs w:val="21"/>
              </w:rPr>
              <w:t>4</w:t>
            </w:r>
          </w:p>
        </w:tc>
        <w:tc>
          <w:tcPr>
            <w:tcW w:w="1204" w:type="dxa"/>
            <w:tcBorders>
              <w:top w:val="single" w:sz="4" w:space="0" w:color="auto"/>
              <w:left w:val="single" w:sz="4" w:space="0" w:color="auto"/>
              <w:bottom w:val="single" w:sz="4" w:space="0" w:color="auto"/>
              <w:right w:val="single" w:sz="4" w:space="0" w:color="auto"/>
            </w:tcBorders>
            <w:vAlign w:val="center"/>
          </w:tcPr>
          <w:p>
            <w:pPr>
              <w:jc w:val="center"/>
              <w:rPr>
                <w:szCs w:val="21"/>
              </w:rPr>
            </w:pPr>
            <w:r>
              <w:rPr>
                <w:rFonts w:hint="eastAsia"/>
                <w:szCs w:val="20"/>
              </w:rPr>
              <w:t>其他事项</w:t>
            </w:r>
          </w:p>
        </w:tc>
        <w:tc>
          <w:tcPr>
            <w:tcW w:w="6905" w:type="dxa"/>
            <w:tcBorders>
              <w:top w:val="single" w:sz="4" w:space="0" w:color="auto"/>
              <w:left w:val="single" w:sz="4" w:space="0" w:color="auto"/>
              <w:bottom w:val="single" w:sz="4" w:space="0" w:color="auto"/>
              <w:right w:val="single" w:sz="4" w:space="0" w:color="auto"/>
            </w:tcBorders>
            <w:vAlign w:val="center"/>
          </w:tcPr>
          <w:p>
            <w:pPr>
              <w:spacing w:line="300" w:lineRule="exact"/>
              <w:jc w:val="left"/>
              <w:rPr>
                <w:szCs w:val="21"/>
              </w:rPr>
            </w:pPr>
            <w:r>
              <w:rPr>
                <w:rFonts w:hint="eastAsia"/>
                <w:szCs w:val="21"/>
              </w:rPr>
              <w:t>构成本采购文件的各个组成文件应互为解释，互为说明：</w:t>
            </w:r>
          </w:p>
          <w:p>
            <w:pPr>
              <w:spacing w:line="300" w:lineRule="exact"/>
              <w:jc w:val="left"/>
              <w:rPr>
                <w:szCs w:val="21"/>
              </w:rPr>
            </w:pPr>
            <w:r>
              <w:rPr>
                <w:rFonts w:hint="eastAsia"/>
                <w:szCs w:val="21"/>
              </w:rPr>
              <w:t>除采购文件中有特别规定外，仅适用于招标投标阶段的规定，按更正公告（澄清公告）、磋商公告、采购需求、供应商须知、评审方法及标准、合同条款格式、响应文件格式的先后顺序解释；同一组成文件中就同一事项的规定或者约定不一致的，以编排顺序在后者为准；同一组成文件不同版本之间有不一致的，以形成时间在后者为准；更正公告（澄清公告）与同步更新的采购文件不一致时以更正公告（澄清公告）为准。按本款前述规定仍不能形成结论的，由采购人或者采购代理机构负责解释。</w:t>
            </w:r>
          </w:p>
        </w:tc>
      </w:tr>
    </w:tbl>
    <w:p>
      <w:pPr>
        <w:tabs>
          <w:tab w:val="left" w:pos="611"/>
        </w:tabs>
        <w:rPr>
          <w:szCs w:val="21"/>
        </w:rPr>
      </w:pPr>
    </w:p>
    <w:p>
      <w:pPr>
        <w:spacing w:before="120" w:line="320" w:lineRule="atLeast"/>
        <w:outlineLvl w:val="1"/>
        <w:rPr>
          <w:b/>
          <w:bCs/>
          <w:kern w:val="0"/>
          <w:szCs w:val="21"/>
        </w:rPr>
      </w:pPr>
      <w:r>
        <w:rPr>
          <w:szCs w:val="21"/>
        </w:rPr>
        <w:br w:type="page"/>
      </w:r>
      <w:bookmarkStart w:id="45" w:name="_Hlk89188603"/>
      <w:r>
        <w:rPr>
          <w:b/>
          <w:bCs/>
          <w:kern w:val="0"/>
          <w:szCs w:val="21"/>
        </w:rPr>
        <w:t>1．总则</w:t>
      </w:r>
    </w:p>
    <w:p>
      <w:pPr>
        <w:spacing w:before="120" w:line="320" w:lineRule="atLeast"/>
        <w:ind w:firstLineChars="200" w:firstLine="420"/>
        <w:outlineLvl w:val="2"/>
        <w:rPr>
          <w:b/>
          <w:bCs/>
          <w:kern w:val="0"/>
          <w:szCs w:val="21"/>
        </w:rPr>
      </w:pPr>
      <w:bookmarkStart w:id="46" w:name="_Toc254970668"/>
      <w:bookmarkStart w:id="47" w:name="_Toc254970527"/>
      <w:r>
        <w:rPr>
          <w:b/>
          <w:bCs/>
          <w:kern w:val="0"/>
          <w:szCs w:val="21"/>
        </w:rPr>
        <w:t>1.1适用范围</w:t>
      </w:r>
      <w:bookmarkEnd w:id="46"/>
      <w:bookmarkEnd w:id="47"/>
    </w:p>
    <w:p>
      <w:pPr>
        <w:spacing w:before="120" w:line="320" w:lineRule="atLeast"/>
        <w:ind w:firstLineChars="200" w:firstLine="420"/>
        <w:rPr>
          <w:szCs w:val="21"/>
        </w:rPr>
      </w:pPr>
      <w:r>
        <w:rPr>
          <w:szCs w:val="21"/>
        </w:rPr>
        <w:t>本采购文件适用于供应商须知前附表所述项目的</w:t>
      </w:r>
      <w:r>
        <w:rPr>
          <w:rFonts w:hint="eastAsia"/>
          <w:szCs w:val="21"/>
        </w:rPr>
        <w:t>政府采购活动。</w:t>
      </w:r>
    </w:p>
    <w:p>
      <w:pPr>
        <w:spacing w:before="120" w:line="320" w:lineRule="atLeast"/>
        <w:ind w:firstLineChars="200" w:firstLine="420"/>
        <w:outlineLvl w:val="2"/>
        <w:rPr>
          <w:b/>
          <w:bCs/>
          <w:kern w:val="0"/>
          <w:szCs w:val="21"/>
        </w:rPr>
      </w:pPr>
      <w:bookmarkStart w:id="48" w:name="_Toc254970528"/>
      <w:bookmarkStart w:id="49" w:name="_Toc254970669"/>
      <w:r>
        <w:rPr>
          <w:b/>
          <w:bCs/>
          <w:kern w:val="0"/>
          <w:szCs w:val="21"/>
        </w:rPr>
        <w:t>1.2定义</w:t>
      </w:r>
      <w:bookmarkEnd w:id="48"/>
      <w:bookmarkEnd w:id="49"/>
    </w:p>
    <w:p>
      <w:pPr>
        <w:spacing w:before="120" w:line="320" w:lineRule="atLeast"/>
        <w:ind w:firstLineChars="200" w:firstLine="420"/>
        <w:rPr>
          <w:szCs w:val="21"/>
        </w:rPr>
      </w:pPr>
      <w:r>
        <w:rPr>
          <w:szCs w:val="21"/>
        </w:rPr>
        <w:t>1.2.1“采购人”系指依法进行政府采购的国家机关、事业单位、团体组织。</w:t>
      </w:r>
    </w:p>
    <w:p>
      <w:pPr>
        <w:spacing w:before="120" w:line="320" w:lineRule="atLeast"/>
        <w:ind w:firstLineChars="200" w:firstLine="420"/>
        <w:rPr>
          <w:szCs w:val="21"/>
        </w:rPr>
      </w:pPr>
      <w:r>
        <w:rPr>
          <w:szCs w:val="21"/>
        </w:rPr>
        <w:t>1.2.2“供应商”系</w:t>
      </w:r>
      <w:r>
        <w:t>指响应招标、参加</w:t>
      </w:r>
      <w:r>
        <w:rPr>
          <w:rFonts w:hint="eastAsia"/>
        </w:rPr>
        <w:t>响应</w:t>
      </w:r>
      <w:r>
        <w:t>竞争的法人、其他组织或者自然人</w:t>
      </w:r>
      <w:r>
        <w:rPr>
          <w:szCs w:val="21"/>
        </w:rPr>
        <w:t>。</w:t>
      </w:r>
    </w:p>
    <w:p>
      <w:pPr>
        <w:spacing w:before="120" w:line="360" w:lineRule="auto"/>
        <w:ind w:firstLineChars="200" w:firstLine="420"/>
        <w:rPr>
          <w:rFonts w:eastAsia="宋体" w:hint="eastAsia"/>
          <w:lang w:eastAsia="zh-CN"/>
        </w:rPr>
      </w:pPr>
      <w:r>
        <w:rPr>
          <w:rFonts w:hint="eastAsia"/>
        </w:rPr>
        <w:t>1.2.3</w:t>
      </w:r>
      <w:r>
        <w:t>本</w:t>
      </w:r>
      <w:r>
        <w:rPr>
          <w:rFonts w:hint="eastAsia"/>
        </w:rPr>
        <w:t>文件</w:t>
      </w:r>
      <w:r>
        <w:t>中的</w:t>
      </w:r>
      <w:r>
        <w:rPr>
          <w:rFonts w:hint="eastAsia"/>
        </w:rPr>
        <w:t>“法定代表人”若无特别说明，当</w:t>
      </w:r>
      <w:r>
        <w:t>供应商是</w:t>
      </w:r>
      <w:r>
        <w:rPr>
          <w:rFonts w:hint="eastAsia"/>
        </w:rPr>
        <w:t>企业的，是指企业法人营业执照上的法定代表人；当</w:t>
      </w:r>
      <w:r>
        <w:t>供应商是</w:t>
      </w:r>
      <w:r>
        <w:rPr>
          <w:rFonts w:hint="eastAsia"/>
        </w:rPr>
        <w:t>事业单位的，是指事业单位法人证书上的法定代表人；当</w:t>
      </w:r>
      <w:r>
        <w:t>供应商是</w:t>
      </w:r>
      <w:r>
        <w:rPr>
          <w:rFonts w:hint="eastAsia"/>
        </w:rPr>
        <w:t>社会团体、民办非企业的，是指法人登记证书中的法定代表人；当</w:t>
      </w:r>
      <w:r>
        <w:t>供应商是</w:t>
      </w:r>
      <w:r>
        <w:rPr>
          <w:rFonts w:hint="eastAsia"/>
        </w:rPr>
        <w:t>个体工商户的，是指个体工商户营业执照上的经营者；</w:t>
      </w:r>
      <w:r>
        <w:t>当供应商是自然人</w:t>
      </w:r>
      <w:r>
        <w:rPr>
          <w:rFonts w:hint="eastAsia"/>
        </w:rPr>
        <w:t>的，是指参与本项目响应的自然人本人。</w:t>
      </w:r>
      <w:r>
        <w:br/>
        <w:t xml:space="preserve">    </w:t>
      </w:r>
      <w:r>
        <w:rPr>
          <w:rFonts w:hint="eastAsia"/>
        </w:rPr>
        <w:t>1.2.4本文件中的“公章”是指根据我国对公章的管理规定，用供应商法定主体行为名称制作的印章，除本文件有特殊规定外，供应商的财务章、部门章、分公司章、工会章、合同章、投标专用章、业务专用章及银行的转账章、现金收讫章、现金付讫章等其他形式印章均不能代替公章</w:t>
      </w:r>
      <w:r>
        <w:rPr>
          <w:rFonts w:hint="eastAsia"/>
          <w:lang w:eastAsia="zh-CN"/>
        </w:rPr>
        <w:t>。</w:t>
      </w:r>
    </w:p>
    <w:p>
      <w:pPr>
        <w:widowControl/>
        <w:spacing w:line="360" w:lineRule="auto"/>
        <w:ind w:firstLineChars="200" w:firstLine="420"/>
        <w:jc w:val="left"/>
        <w:rPr>
          <w:szCs w:val="21"/>
        </w:rPr>
      </w:pPr>
      <w:r>
        <w:rPr>
          <w:szCs w:val="21"/>
        </w:rPr>
        <w:t>1.2.</w:t>
      </w:r>
      <w:r>
        <w:rPr>
          <w:rFonts w:hint="eastAsia"/>
          <w:szCs w:val="21"/>
        </w:rPr>
        <w:t>5</w:t>
      </w:r>
      <w:r>
        <w:rPr>
          <w:szCs w:val="21"/>
        </w:rPr>
        <w:t>“书面形式”如无特殊规定，</w:t>
      </w:r>
      <w:r>
        <w:rPr>
          <w:rFonts w:hint="eastAsia"/>
          <w:szCs w:val="21"/>
        </w:rPr>
        <w:t>书面形式是合同书、信件、电报、电传等可以有形地表现所载内容的形式。以电子数据交换、电子邮件等方式能够有形地表现所载内容，并可以随时调取查用的数据电文，视为书面形式。</w:t>
      </w:r>
      <w:r>
        <w:rPr>
          <w:szCs w:val="21"/>
        </w:rPr>
        <w:t xml:space="preserve">采购文件如有特殊规定，以采购文件规定为准。 </w:t>
      </w:r>
    </w:p>
    <w:p>
      <w:pPr>
        <w:spacing w:before="120" w:line="320" w:lineRule="atLeast"/>
        <w:ind w:firstLineChars="200" w:firstLine="420"/>
        <w:rPr>
          <w:szCs w:val="21"/>
        </w:rPr>
      </w:pPr>
      <w:r>
        <w:rPr>
          <w:szCs w:val="21"/>
        </w:rPr>
        <w:t>1.2.</w:t>
      </w:r>
      <w:r>
        <w:rPr>
          <w:rFonts w:hint="eastAsia"/>
          <w:szCs w:val="21"/>
        </w:rPr>
        <w:t>6本项目的技术商务要求重要性分为“▲”（如有）、“#”（如有）和一般无标识指标。▲代表实质性要求指标，</w:t>
      </w:r>
      <w:r>
        <w:rPr>
          <w:rFonts w:hint="eastAsia"/>
          <w:b/>
          <w:bCs/>
          <w:szCs w:val="21"/>
        </w:rPr>
        <w:t>不满足该指标项将导致响应被否决</w:t>
      </w:r>
      <w:r>
        <w:rPr>
          <w:rFonts w:hint="eastAsia"/>
          <w:szCs w:val="21"/>
        </w:rPr>
        <w:t>，#代表重要指标，无标识则表示一般指标项。</w:t>
      </w:r>
    </w:p>
    <w:p>
      <w:pPr>
        <w:spacing w:before="120" w:line="320" w:lineRule="atLeast"/>
        <w:ind w:firstLineChars="200" w:firstLine="420"/>
        <w:rPr>
          <w:szCs w:val="21"/>
        </w:rPr>
      </w:pPr>
      <w:r>
        <w:rPr>
          <w:szCs w:val="21"/>
        </w:rPr>
        <w:t>1.2.</w:t>
      </w:r>
      <w:r>
        <w:rPr>
          <w:rFonts w:hint="eastAsia"/>
          <w:szCs w:val="21"/>
        </w:rPr>
        <w:t>7 本</w:t>
      </w:r>
      <w:r>
        <w:rPr>
          <w:szCs w:val="21"/>
        </w:rPr>
        <w:t>采购文件</w:t>
      </w:r>
      <w:r>
        <w:rPr>
          <w:rFonts w:hint="eastAsia"/>
          <w:szCs w:val="21"/>
        </w:rPr>
        <w:t>出现多种选项的条款，以“</w:t>
      </w:r>
      <w:r>
        <w:sym w:font="Wingdings 2" w:char="F052"/>
      </w:r>
      <w:r>
        <w:rPr>
          <w:rFonts w:hint="eastAsia"/>
          <w:szCs w:val="21"/>
        </w:rPr>
        <w:t>”表示本条款所选择的方式。</w:t>
      </w:r>
    </w:p>
    <w:p>
      <w:pPr>
        <w:spacing w:before="120" w:line="320" w:lineRule="atLeast"/>
        <w:ind w:firstLineChars="200" w:firstLine="420"/>
        <w:outlineLvl w:val="2"/>
        <w:rPr>
          <w:b/>
          <w:bCs/>
          <w:kern w:val="0"/>
          <w:szCs w:val="21"/>
        </w:rPr>
      </w:pPr>
      <w:r>
        <w:rPr>
          <w:rFonts w:hint="eastAsia"/>
          <w:b/>
          <w:bCs/>
          <w:kern w:val="0"/>
          <w:szCs w:val="21"/>
        </w:rPr>
        <w:t>1</w:t>
      </w:r>
      <w:r>
        <w:rPr>
          <w:b/>
          <w:bCs/>
          <w:kern w:val="0"/>
          <w:szCs w:val="21"/>
        </w:rPr>
        <w:t>.3</w:t>
      </w:r>
      <w:r>
        <w:rPr>
          <w:rFonts w:hint="eastAsia"/>
          <w:b/>
          <w:bCs/>
          <w:kern w:val="0"/>
          <w:szCs w:val="21"/>
        </w:rPr>
        <w:t>项目信息</w:t>
      </w:r>
    </w:p>
    <w:p>
      <w:pPr>
        <w:spacing w:before="120" w:line="320" w:lineRule="atLeast"/>
        <w:ind w:firstLineChars="200" w:firstLine="420"/>
        <w:rPr>
          <w:szCs w:val="21"/>
        </w:rPr>
      </w:pPr>
      <w:r>
        <w:rPr>
          <w:rFonts w:hint="eastAsia"/>
          <w:szCs w:val="21"/>
        </w:rPr>
        <w:t>1</w:t>
      </w:r>
      <w:r>
        <w:rPr>
          <w:szCs w:val="21"/>
        </w:rPr>
        <w:t>.3.1</w:t>
      </w:r>
      <w:r>
        <w:rPr>
          <w:rFonts w:hint="eastAsia"/>
          <w:szCs w:val="21"/>
        </w:rPr>
        <w:t>项目名称及编号：详见</w:t>
      </w:r>
      <w:bookmarkStart w:id="50" w:name="_Hlk89176704"/>
      <w:r>
        <w:rPr>
          <w:rFonts w:hint="eastAsia"/>
          <w:szCs w:val="21"/>
        </w:rPr>
        <w:t>供应商须知前附表</w:t>
      </w:r>
      <w:bookmarkEnd w:id="50"/>
    </w:p>
    <w:p>
      <w:pPr>
        <w:spacing w:before="120" w:line="320" w:lineRule="atLeast"/>
        <w:ind w:firstLineChars="200" w:firstLine="420"/>
        <w:rPr>
          <w:szCs w:val="21"/>
        </w:rPr>
      </w:pPr>
      <w:r>
        <w:rPr>
          <w:rFonts w:hint="eastAsia"/>
          <w:szCs w:val="21"/>
        </w:rPr>
        <w:t>1</w:t>
      </w:r>
      <w:r>
        <w:rPr>
          <w:szCs w:val="21"/>
        </w:rPr>
        <w:t>.3.2</w:t>
      </w:r>
      <w:r>
        <w:rPr>
          <w:rFonts w:hint="eastAsia"/>
          <w:szCs w:val="21"/>
        </w:rPr>
        <w:t>采购方式：详见供应商须知前附表</w:t>
      </w:r>
    </w:p>
    <w:p>
      <w:pPr>
        <w:spacing w:before="120" w:line="320" w:lineRule="atLeast"/>
        <w:ind w:firstLineChars="200" w:firstLine="420"/>
        <w:outlineLvl w:val="2"/>
        <w:rPr>
          <w:b/>
          <w:bCs/>
          <w:kern w:val="0"/>
          <w:szCs w:val="21"/>
        </w:rPr>
      </w:pPr>
      <w:bookmarkStart w:id="51" w:name="_Hlk132812137"/>
      <w:r>
        <w:rPr>
          <w:rFonts w:hint="eastAsia"/>
          <w:b/>
          <w:bCs/>
          <w:kern w:val="0"/>
          <w:szCs w:val="21"/>
        </w:rPr>
        <w:t>1</w:t>
      </w:r>
      <w:r>
        <w:rPr>
          <w:b/>
          <w:bCs/>
          <w:kern w:val="0"/>
          <w:szCs w:val="21"/>
        </w:rPr>
        <w:t>.4</w:t>
      </w:r>
      <w:r>
        <w:rPr>
          <w:rFonts w:hint="eastAsia"/>
          <w:b/>
          <w:bCs/>
          <w:kern w:val="0"/>
          <w:szCs w:val="21"/>
        </w:rPr>
        <w:t>促进中小企业发展政策</w:t>
      </w:r>
    </w:p>
    <w:p>
      <w:pPr>
        <w:spacing w:before="120" w:line="320" w:lineRule="atLeast"/>
        <w:ind w:leftChars="1" w:left="2" w:firstLineChars="200" w:firstLine="420"/>
        <w:rPr>
          <w:szCs w:val="21"/>
        </w:rPr>
      </w:pPr>
      <w:r>
        <w:rPr>
          <w:szCs w:val="21"/>
        </w:rPr>
        <w:t>1.4.1</w:t>
      </w:r>
      <w:r>
        <w:rPr>
          <w:rFonts w:hint="eastAsia"/>
          <w:szCs w:val="21"/>
        </w:rPr>
        <w:t>本项目落实促进中小企业发展政策措施在前附表规定。依据促进中小企业发展政策获得政府采购合同的，小微企业不得将合同分包给大中型企业，中型企业不得将合同分包给大型企业。</w:t>
      </w:r>
    </w:p>
    <w:p>
      <w:pPr>
        <w:spacing w:before="120" w:line="320" w:lineRule="atLeast"/>
        <w:ind w:leftChars="1" w:left="2" w:firstLineChars="200" w:firstLine="420"/>
        <w:rPr>
          <w:szCs w:val="21"/>
        </w:rPr>
      </w:pPr>
      <w:bookmarkStart w:id="52" w:name="_Hlk92205820"/>
      <w:r>
        <w:rPr>
          <w:rFonts w:hint="eastAsia"/>
          <w:szCs w:val="21"/>
        </w:rPr>
        <w:t>根据《政府采购促进中小企业发展管理办法》（财库[2020]46号）第九条以及《广西壮族自治区财政厅 广西壮族自治区工业和信息化厅转发财政部 工业和信息化部政府采购促进中小企业发展管理办法的通知》（桂财采[2021]70号）规定，价格扣除比例在第四章评审方法及标准中规定，对小型企业和微型企业同等对待，不作区分。</w:t>
      </w:r>
    </w:p>
    <w:p>
      <w:pPr>
        <w:spacing w:before="120" w:line="320" w:lineRule="atLeast"/>
        <w:ind w:leftChars="1" w:left="2" w:firstLineChars="200" w:firstLine="420"/>
        <w:rPr>
          <w:szCs w:val="21"/>
        </w:rPr>
      </w:pPr>
      <w:r>
        <w:rPr>
          <w:szCs w:val="21"/>
        </w:rPr>
        <w:t>1.4.2</w:t>
      </w:r>
      <w:r>
        <w:rPr>
          <w:rFonts w:hint="eastAsia"/>
          <w:szCs w:val="21"/>
        </w:rPr>
        <w:t>中小企业定义</w:t>
      </w:r>
    </w:p>
    <w:p>
      <w:pPr>
        <w:spacing w:before="120" w:line="320" w:lineRule="atLeast"/>
        <w:ind w:firstLineChars="200" w:firstLine="420"/>
        <w:rPr>
          <w:szCs w:val="21"/>
        </w:rPr>
      </w:pPr>
      <w:r>
        <w:rPr>
          <w:szCs w:val="21"/>
        </w:rPr>
        <w:t>1.4.2.1</w:t>
      </w:r>
      <w:r>
        <w:rPr>
          <w:rFonts w:hint="eastAsia"/>
          <w:szCs w:val="21"/>
        </w:rPr>
        <w:t>中小企业是指在中华人民共和国境内依法设立，依据国务院批准的中小企业划分标准确定的中型企业、小型企业和微型企业，但与大企业的负责人为同一人，或者与大企业存在直接控股、管理关系的除外。</w:t>
      </w:r>
    </w:p>
    <w:p>
      <w:pPr>
        <w:spacing w:before="120" w:line="320" w:lineRule="atLeast"/>
        <w:ind w:leftChars="1" w:left="2" w:firstLineChars="200" w:firstLine="420"/>
        <w:rPr>
          <w:szCs w:val="21"/>
        </w:rPr>
      </w:pPr>
      <w:r>
        <w:rPr>
          <w:szCs w:val="21"/>
        </w:rPr>
        <w:t>1.4.2.2</w:t>
      </w:r>
      <w:r>
        <w:rPr>
          <w:rFonts w:hint="eastAsia"/>
          <w:szCs w:val="21"/>
        </w:rPr>
        <w:t>供应商提供的货物、工程或者服务符合下列情形的，享受本款规定的促进中小企业发展政策：</w:t>
      </w:r>
    </w:p>
    <w:p>
      <w:pPr>
        <w:spacing w:before="120" w:line="320" w:lineRule="atLeast"/>
        <w:ind w:leftChars="1" w:left="2" w:firstLineChars="200" w:firstLine="420"/>
        <w:rPr>
          <w:szCs w:val="21"/>
        </w:rPr>
      </w:pPr>
      <w:r>
        <w:rPr>
          <w:rFonts w:hint="eastAsia"/>
          <w:szCs w:val="21"/>
        </w:rPr>
        <w:t>在货物采购项目中，货物由中小企业制造，即货物由中小企业生产且使用该中小企业商号或者注册商标；</w:t>
      </w:r>
    </w:p>
    <w:p>
      <w:pPr>
        <w:spacing w:before="120" w:line="320" w:lineRule="atLeast"/>
        <w:ind w:leftChars="1" w:left="2" w:firstLineChars="200" w:firstLine="420"/>
        <w:rPr>
          <w:szCs w:val="21"/>
        </w:rPr>
      </w:pPr>
      <w:r>
        <w:rPr>
          <w:rFonts w:hint="eastAsia"/>
          <w:szCs w:val="21"/>
        </w:rPr>
        <w:t>在工程采购项目中，工程由中小企业承建，即工程施工单位为中小企业；</w:t>
      </w:r>
    </w:p>
    <w:p>
      <w:pPr>
        <w:spacing w:before="120" w:line="320" w:lineRule="atLeast"/>
        <w:ind w:leftChars="1" w:left="2" w:firstLineChars="200" w:firstLine="420"/>
        <w:rPr>
          <w:szCs w:val="21"/>
        </w:rPr>
      </w:pPr>
      <w:r>
        <w:rPr>
          <w:rFonts w:hint="eastAsia"/>
          <w:szCs w:val="21"/>
        </w:rPr>
        <w:t>在服务采购项目中，服务由中小企业承接，即提供服务的人员为中小企业依照《中华人民共和国劳动合同法》订立劳动合同的从业人员。</w:t>
      </w:r>
    </w:p>
    <w:p>
      <w:pPr>
        <w:spacing w:before="120" w:line="320" w:lineRule="atLeast"/>
        <w:ind w:leftChars="1" w:left="2" w:firstLineChars="200" w:firstLine="420"/>
        <w:rPr>
          <w:szCs w:val="21"/>
        </w:rPr>
      </w:pPr>
      <w:r>
        <w:rPr>
          <w:rFonts w:hint="eastAsia"/>
          <w:szCs w:val="21"/>
        </w:rPr>
        <w:t>在货物采购项目中，供应商提供的货物既有中小企业制造货物，也有大型企业制造货物的，不享受本款规定的促进中小企业发展政策。</w:t>
      </w:r>
    </w:p>
    <w:p>
      <w:pPr>
        <w:spacing w:before="120" w:line="320" w:lineRule="atLeast"/>
        <w:ind w:firstLineChars="200" w:firstLine="420"/>
        <w:rPr>
          <w:szCs w:val="21"/>
        </w:rPr>
      </w:pPr>
      <w:r>
        <w:rPr>
          <w:szCs w:val="21"/>
        </w:rPr>
        <w:t>1.4.2</w:t>
      </w:r>
      <w:r>
        <w:rPr>
          <w:rFonts w:hint="eastAsia"/>
          <w:szCs w:val="21"/>
        </w:rPr>
        <w:t>.</w:t>
      </w:r>
      <w:r>
        <w:rPr>
          <w:szCs w:val="21"/>
        </w:rPr>
        <w:t>3</w:t>
      </w:r>
      <w:r>
        <w:rPr>
          <w:rFonts w:hint="eastAsia"/>
          <w:szCs w:val="21"/>
        </w:rPr>
        <w:t>本项目标的所属行业在第二章采购需求中规定。供应商根据中小企业划分标准（《关于印发中小企业划型标准规定的通知》（工信部联企业〔2011〕300号）判断是否为中小企业。（见附件）</w:t>
      </w:r>
    </w:p>
    <w:p>
      <w:pPr>
        <w:spacing w:before="120" w:line="320" w:lineRule="atLeast"/>
        <w:ind w:firstLineChars="200" w:firstLine="420"/>
        <w:rPr>
          <w:szCs w:val="21"/>
        </w:rPr>
      </w:pPr>
      <w:r>
        <w:rPr>
          <w:rFonts w:hint="eastAsia"/>
          <w:szCs w:val="21"/>
        </w:rPr>
        <w:t>符合条件的货物制造商、工程施工单位、服务承接单位为中小企业的，应按采购文件规定在响应文件中提供声明函。</w:t>
      </w:r>
    </w:p>
    <w:p>
      <w:pPr>
        <w:spacing w:before="120" w:line="320" w:lineRule="atLeast"/>
        <w:ind w:firstLineChars="200" w:firstLine="420"/>
        <w:rPr>
          <w:szCs w:val="21"/>
        </w:rPr>
      </w:pPr>
      <w:r>
        <w:rPr>
          <w:szCs w:val="21"/>
        </w:rPr>
        <w:t>1.4</w:t>
      </w:r>
      <w:r>
        <w:rPr>
          <w:rFonts w:hint="eastAsia"/>
          <w:szCs w:val="21"/>
        </w:rPr>
        <w:t>.</w:t>
      </w:r>
      <w:r>
        <w:rPr>
          <w:szCs w:val="21"/>
        </w:rPr>
        <w:t>2</w:t>
      </w:r>
      <w:r>
        <w:rPr>
          <w:rFonts w:hint="eastAsia"/>
          <w:szCs w:val="21"/>
        </w:rPr>
        <w:t>.</w:t>
      </w:r>
      <w:r>
        <w:rPr>
          <w:szCs w:val="21"/>
        </w:rPr>
        <w:t>4</w:t>
      </w:r>
      <w:r>
        <w:rPr>
          <w:rFonts w:hint="eastAsia"/>
          <w:szCs w:val="21"/>
        </w:rPr>
        <w:t>视同中小企业情形</w:t>
      </w:r>
    </w:p>
    <w:p>
      <w:pPr>
        <w:spacing w:before="120" w:line="320" w:lineRule="atLeast"/>
        <w:ind w:firstLineChars="200" w:firstLine="420"/>
        <w:rPr>
          <w:szCs w:val="21"/>
        </w:rPr>
      </w:pPr>
      <w:r>
        <w:rPr>
          <w:rFonts w:hint="eastAsia"/>
          <w:szCs w:val="21"/>
        </w:rPr>
        <w:t>（1）符合中小企业划分标准的个体工商户，视同中小企业。</w:t>
      </w:r>
    </w:p>
    <w:p>
      <w:pPr>
        <w:spacing w:before="120" w:line="320" w:lineRule="atLeast"/>
        <w:ind w:firstLineChars="200" w:firstLine="420"/>
        <w:rPr>
          <w:szCs w:val="21"/>
        </w:rPr>
      </w:pPr>
      <w:r>
        <w:rPr>
          <w:rFonts w:hint="eastAsia"/>
          <w:szCs w:val="21"/>
        </w:rPr>
        <w:t>（2）以联合体形式参加政府采购活动，联合体各方均为中小企业的，联合体视同中小企业。其中，联合体各方均为小微企业的，联合体视同小微企业。</w:t>
      </w:r>
    </w:p>
    <w:p>
      <w:pPr>
        <w:spacing w:before="120" w:line="320" w:lineRule="atLeast"/>
        <w:ind w:firstLineChars="200" w:firstLine="420"/>
        <w:rPr>
          <w:szCs w:val="21"/>
        </w:rPr>
      </w:pPr>
      <w:r>
        <w:rPr>
          <w:rFonts w:hint="eastAsia"/>
          <w:szCs w:val="21"/>
        </w:rPr>
        <w:t>（3）符合《财政部、司法部关于政府采购支持监狱企业发展有关问题的通知》（财库〔2014〕68号）规定的监狱企业，或符合《关于促进残疾人就业政府采购政策的通知》（财库〔2017〕141号）规定的残疾人福利性单位，视同小型、微型企业。</w:t>
      </w:r>
    </w:p>
    <w:p>
      <w:pPr>
        <w:spacing w:before="120" w:line="320" w:lineRule="atLeast"/>
        <w:ind w:leftChars="1" w:left="2" w:firstLineChars="200" w:firstLine="420"/>
        <w:rPr>
          <w:szCs w:val="21"/>
        </w:rPr>
      </w:pPr>
      <w:r>
        <w:rPr>
          <w:rFonts w:hint="eastAsia"/>
          <w:szCs w:val="21"/>
        </w:rPr>
        <w:t>符合条件的货物制造商、工程施工单位、服务承接单位为监狱企业或残疾人福利性单位的，应按采购文件规定在响应文件中提供相关证明文件。</w:t>
      </w:r>
      <w:bookmarkEnd w:id="51"/>
      <w:bookmarkEnd w:id="52"/>
    </w:p>
    <w:p>
      <w:pPr>
        <w:spacing w:before="120" w:line="320" w:lineRule="atLeast"/>
        <w:ind w:firstLineChars="200" w:firstLine="420"/>
        <w:outlineLvl w:val="2"/>
        <w:rPr>
          <w:b/>
          <w:bCs/>
          <w:kern w:val="0"/>
          <w:szCs w:val="21"/>
        </w:rPr>
      </w:pPr>
      <w:r>
        <w:rPr>
          <w:b/>
          <w:bCs/>
          <w:kern w:val="0"/>
          <w:szCs w:val="21"/>
        </w:rPr>
        <w:t>1.5供应商资格</w:t>
      </w:r>
      <w:r>
        <w:rPr>
          <w:rFonts w:hint="eastAsia"/>
          <w:b/>
          <w:bCs/>
          <w:kern w:val="0"/>
          <w:szCs w:val="21"/>
        </w:rPr>
        <w:t>要求</w:t>
      </w:r>
    </w:p>
    <w:p>
      <w:pPr>
        <w:spacing w:before="120" w:line="320" w:lineRule="atLeast"/>
        <w:ind w:firstLineChars="200" w:firstLine="420"/>
        <w:rPr>
          <w:szCs w:val="21"/>
        </w:rPr>
      </w:pPr>
      <w:r>
        <w:rPr>
          <w:szCs w:val="21"/>
        </w:rPr>
        <w:t>1.5.1</w:t>
      </w:r>
      <w:r>
        <w:rPr>
          <w:rFonts w:hint="eastAsia"/>
          <w:szCs w:val="21"/>
        </w:rPr>
        <w:t>供应商资格要求：详见供应商须知前附表</w:t>
      </w:r>
    </w:p>
    <w:p>
      <w:pPr>
        <w:spacing w:before="120" w:line="320" w:lineRule="atLeast"/>
        <w:ind w:firstLineChars="200" w:firstLine="420"/>
        <w:rPr>
          <w:szCs w:val="21"/>
        </w:rPr>
      </w:pPr>
      <w:r>
        <w:rPr>
          <w:szCs w:val="21"/>
        </w:rPr>
        <w:t>1.5.2按照磋商公告的规定获得采购文件。</w:t>
      </w:r>
    </w:p>
    <w:p>
      <w:pPr>
        <w:spacing w:before="120" w:line="320" w:lineRule="atLeast"/>
        <w:ind w:firstLineChars="200" w:firstLine="420"/>
        <w:rPr>
          <w:szCs w:val="21"/>
        </w:rPr>
      </w:pPr>
      <w:r>
        <w:rPr>
          <w:szCs w:val="21"/>
        </w:rPr>
        <w:t>1.5.3本项目是否接受联合体响应，见“供应商须知前附表”规定。</w:t>
      </w:r>
    </w:p>
    <w:p>
      <w:pPr>
        <w:spacing w:before="120" w:line="320" w:lineRule="atLeast"/>
        <w:ind w:firstLineChars="200" w:firstLine="420"/>
        <w:outlineLvl w:val="2"/>
        <w:rPr>
          <w:b/>
          <w:bCs/>
          <w:kern w:val="0"/>
          <w:szCs w:val="21"/>
        </w:rPr>
      </w:pPr>
      <w:bookmarkStart w:id="53" w:name="_Toc254970531"/>
      <w:bookmarkStart w:id="54" w:name="_Toc254970672"/>
      <w:r>
        <w:rPr>
          <w:b/>
          <w:bCs/>
          <w:kern w:val="0"/>
          <w:szCs w:val="21"/>
        </w:rPr>
        <w:t>1.6现场踏勘及响应费用</w:t>
      </w:r>
      <w:bookmarkEnd w:id="53"/>
      <w:bookmarkEnd w:id="54"/>
    </w:p>
    <w:p>
      <w:pPr>
        <w:spacing w:before="120" w:line="320" w:lineRule="atLeast"/>
        <w:ind w:firstLineChars="200" w:firstLine="420"/>
        <w:rPr>
          <w:szCs w:val="21"/>
        </w:rPr>
      </w:pPr>
      <w:r>
        <w:rPr>
          <w:szCs w:val="21"/>
        </w:rPr>
        <w:t>1.6.1前附表如规定现场踏勘的，供应商应按规定时间地点参加踏勘。</w:t>
      </w:r>
    </w:p>
    <w:p>
      <w:pPr>
        <w:spacing w:before="120" w:line="320" w:lineRule="atLeast"/>
        <w:ind w:firstLineChars="200" w:firstLine="420"/>
        <w:rPr>
          <w:szCs w:val="21"/>
        </w:rPr>
      </w:pPr>
      <w:r>
        <w:rPr>
          <w:szCs w:val="21"/>
        </w:rPr>
        <w:t>1.6.2供应商均应自行承担所有与响应有关的全部费用（采购文件有相关的规定除外）。</w:t>
      </w:r>
    </w:p>
    <w:p>
      <w:pPr>
        <w:spacing w:before="120" w:line="320" w:lineRule="atLeast"/>
        <w:ind w:firstLineChars="200" w:firstLine="420"/>
        <w:outlineLvl w:val="2"/>
        <w:rPr>
          <w:b/>
          <w:bCs/>
          <w:kern w:val="0"/>
          <w:szCs w:val="21"/>
        </w:rPr>
      </w:pPr>
      <w:r>
        <w:rPr>
          <w:b/>
          <w:bCs/>
          <w:kern w:val="0"/>
          <w:szCs w:val="21"/>
        </w:rPr>
        <w:t>1.7转包与分包</w:t>
      </w:r>
    </w:p>
    <w:p>
      <w:pPr>
        <w:spacing w:before="120" w:line="320" w:lineRule="atLeast"/>
        <w:ind w:firstLineChars="200" w:firstLine="420"/>
        <w:rPr>
          <w:szCs w:val="21"/>
        </w:rPr>
      </w:pPr>
      <w:r>
        <w:rPr>
          <w:szCs w:val="21"/>
        </w:rPr>
        <w:t>1.7.1如</w:t>
      </w:r>
      <w:r>
        <w:rPr>
          <w:rFonts w:hint="eastAsia"/>
          <w:szCs w:val="21"/>
        </w:rPr>
        <w:t>采购文件</w:t>
      </w:r>
      <w:r>
        <w:rPr>
          <w:szCs w:val="21"/>
        </w:rPr>
        <w:t>其他地方无特别规定</w:t>
      </w:r>
      <w:r>
        <w:rPr>
          <w:rFonts w:hint="eastAsia"/>
          <w:szCs w:val="21"/>
        </w:rPr>
        <w:t>，</w:t>
      </w:r>
      <w:r>
        <w:rPr>
          <w:szCs w:val="21"/>
        </w:rPr>
        <w:t>本项目不允许转包。</w:t>
      </w:r>
    </w:p>
    <w:p>
      <w:pPr>
        <w:spacing w:before="120" w:line="320" w:lineRule="atLeast"/>
        <w:ind w:firstLineChars="200" w:firstLine="420"/>
        <w:rPr>
          <w:szCs w:val="21"/>
        </w:rPr>
      </w:pPr>
      <w:r>
        <w:rPr>
          <w:szCs w:val="21"/>
        </w:rPr>
        <w:t>1.7.2</w:t>
      </w:r>
      <w:r>
        <w:rPr>
          <w:rFonts w:hint="eastAsia"/>
          <w:szCs w:val="21"/>
        </w:rPr>
        <w:t>本项目是否允许分包详见“供应商须知前附表”，本项目不允许违法分包。供应商根据采购文件的规定和采购项目的实际情况，拟在成交后将成交项目的非主体、非关键性工作分包的，应当在响应文件中载明分包承担主体，分包承担主体应当具备相应资质条件且不得再次分包。</w:t>
      </w:r>
    </w:p>
    <w:p>
      <w:pPr>
        <w:spacing w:before="120" w:line="276" w:lineRule="auto"/>
        <w:ind w:firstLineChars="200" w:firstLine="420"/>
        <w:outlineLvl w:val="2"/>
        <w:rPr>
          <w:b/>
          <w:bCs/>
          <w:kern w:val="0"/>
          <w:szCs w:val="21"/>
        </w:rPr>
      </w:pPr>
      <w:bookmarkStart w:id="55" w:name="_Toc254970673"/>
      <w:bookmarkStart w:id="56" w:name="_Toc254970532"/>
      <w:r>
        <w:rPr>
          <w:b/>
          <w:bCs/>
          <w:kern w:val="0"/>
          <w:szCs w:val="21"/>
        </w:rPr>
        <w:t>1.8特别说明</w:t>
      </w:r>
      <w:bookmarkEnd w:id="55"/>
      <w:bookmarkEnd w:id="56"/>
    </w:p>
    <w:p>
      <w:pPr>
        <w:spacing w:line="276" w:lineRule="auto"/>
        <w:ind w:firstLineChars="200" w:firstLine="420"/>
        <w:rPr>
          <w:szCs w:val="21"/>
        </w:rPr>
      </w:pPr>
      <w:r>
        <w:rPr>
          <w:szCs w:val="21"/>
        </w:rPr>
        <w:t>1.8.1 供应商应保证其提供的联系方式（电话、传真、电子邮件）有效，以保证往来函件（澄清、修改等）能及时通知供应商，并能及时反馈，否则采购人</w:t>
      </w:r>
      <w:r>
        <w:rPr>
          <w:rFonts w:hint="eastAsia"/>
          <w:szCs w:val="21"/>
        </w:rPr>
        <w:t>及代理机构</w:t>
      </w:r>
      <w:r>
        <w:rPr>
          <w:szCs w:val="21"/>
        </w:rPr>
        <w:t>不承担由此引起的一切后果。</w:t>
      </w:r>
    </w:p>
    <w:p>
      <w:pPr>
        <w:spacing w:before="120" w:line="320" w:lineRule="atLeast"/>
        <w:ind w:firstLineChars="200" w:firstLine="420"/>
        <w:rPr>
          <w:szCs w:val="21"/>
        </w:rPr>
      </w:pPr>
      <w:r>
        <w:rPr>
          <w:szCs w:val="21"/>
        </w:rPr>
        <w:t>1.8.2供应商应仔细阅读采购文件的所有内容，按照采购文件的要求提交响应文件，并对所提供的全部资料的真实性承担法律责任。</w:t>
      </w:r>
    </w:p>
    <w:p>
      <w:pPr>
        <w:spacing w:before="120" w:line="360" w:lineRule="auto"/>
        <w:ind w:firstLineChars="200" w:firstLine="420"/>
        <w:rPr>
          <w:szCs w:val="21"/>
        </w:rPr>
      </w:pPr>
      <w:r>
        <w:rPr>
          <w:szCs w:val="21"/>
        </w:rPr>
        <w:t>1.8.3供应商在响应活动中提供任何虚假材料，</w:t>
      </w:r>
      <w:r>
        <w:rPr>
          <w:rFonts w:hint="eastAsia"/>
          <w:szCs w:val="21"/>
        </w:rPr>
        <w:t>将</w:t>
      </w:r>
      <w:r>
        <w:rPr>
          <w:szCs w:val="21"/>
        </w:rPr>
        <w:t xml:space="preserve">报监管部门查处； </w:t>
      </w:r>
    </w:p>
    <w:p>
      <w:pPr>
        <w:spacing w:before="120" w:line="320" w:lineRule="atLeast"/>
        <w:ind w:leftChars="1" w:left="2" w:firstLineChars="200" w:firstLine="420"/>
        <w:outlineLvl w:val="1"/>
        <w:rPr>
          <w:b/>
          <w:bCs/>
          <w:kern w:val="0"/>
          <w:szCs w:val="21"/>
        </w:rPr>
      </w:pPr>
      <w:bookmarkStart w:id="57" w:name="_Toc254970675"/>
      <w:bookmarkStart w:id="58" w:name="_Toc254970534"/>
      <w:r>
        <w:rPr>
          <w:b/>
          <w:bCs/>
          <w:kern w:val="0"/>
          <w:szCs w:val="21"/>
        </w:rPr>
        <w:t>2．采购文件</w:t>
      </w:r>
      <w:bookmarkEnd w:id="57"/>
      <w:bookmarkEnd w:id="58"/>
    </w:p>
    <w:p>
      <w:pPr>
        <w:spacing w:before="120" w:line="320" w:lineRule="atLeast"/>
        <w:ind w:firstLineChars="200" w:firstLine="420"/>
        <w:outlineLvl w:val="2"/>
        <w:rPr>
          <w:b/>
          <w:bCs/>
          <w:kern w:val="0"/>
          <w:szCs w:val="21"/>
        </w:rPr>
      </w:pPr>
      <w:r>
        <w:rPr>
          <w:b/>
          <w:bCs/>
          <w:kern w:val="0"/>
          <w:szCs w:val="21"/>
        </w:rPr>
        <w:t>2.1采购文件的构成</w:t>
      </w:r>
    </w:p>
    <w:p>
      <w:pPr>
        <w:spacing w:before="120" w:line="320" w:lineRule="atLeast"/>
        <w:ind w:firstLineChars="200" w:firstLine="420"/>
        <w:rPr>
          <w:szCs w:val="21"/>
        </w:rPr>
      </w:pPr>
      <w:r>
        <w:rPr>
          <w:szCs w:val="21"/>
        </w:rPr>
        <w:t xml:space="preserve">第一章 </w:t>
      </w:r>
      <w:r>
        <w:rPr>
          <w:rFonts w:hint="eastAsia"/>
          <w:szCs w:val="21"/>
          <w:lang w:val="en-US" w:eastAsia="zh-CN"/>
        </w:rPr>
        <w:t>竞争性</w:t>
      </w:r>
      <w:r>
        <w:rPr>
          <w:szCs w:val="21"/>
        </w:rPr>
        <w:t>磋商公告</w:t>
      </w:r>
    </w:p>
    <w:p>
      <w:pPr>
        <w:spacing w:before="120" w:line="320" w:lineRule="atLeast"/>
        <w:ind w:firstLineChars="200" w:firstLine="420"/>
        <w:rPr>
          <w:szCs w:val="21"/>
        </w:rPr>
      </w:pPr>
      <w:r>
        <w:rPr>
          <w:szCs w:val="21"/>
        </w:rPr>
        <w:t>第二章 采购需求</w:t>
      </w:r>
    </w:p>
    <w:p>
      <w:pPr>
        <w:spacing w:before="120" w:line="320" w:lineRule="atLeast"/>
        <w:ind w:firstLineChars="200" w:firstLine="420"/>
        <w:rPr>
          <w:szCs w:val="21"/>
        </w:rPr>
      </w:pPr>
      <w:r>
        <w:rPr>
          <w:szCs w:val="21"/>
        </w:rPr>
        <w:t>第三章 供应商须知</w:t>
      </w:r>
    </w:p>
    <w:p>
      <w:pPr>
        <w:spacing w:before="120" w:line="320" w:lineRule="atLeast"/>
        <w:ind w:firstLineChars="200" w:firstLine="420"/>
        <w:rPr>
          <w:szCs w:val="21"/>
        </w:rPr>
      </w:pPr>
      <w:r>
        <w:rPr>
          <w:szCs w:val="21"/>
        </w:rPr>
        <w:t>第四章 评审方法及标准</w:t>
      </w:r>
    </w:p>
    <w:p>
      <w:pPr>
        <w:spacing w:before="120" w:line="320" w:lineRule="atLeast"/>
        <w:ind w:firstLineChars="200" w:firstLine="420"/>
        <w:rPr>
          <w:szCs w:val="21"/>
        </w:rPr>
      </w:pPr>
      <w:r>
        <w:rPr>
          <w:szCs w:val="21"/>
        </w:rPr>
        <w:t>第五章 合同主要条款格式</w:t>
      </w:r>
    </w:p>
    <w:p>
      <w:pPr>
        <w:spacing w:before="120" w:line="320" w:lineRule="atLeast"/>
        <w:ind w:firstLineChars="200" w:firstLine="420"/>
        <w:rPr>
          <w:szCs w:val="21"/>
        </w:rPr>
      </w:pPr>
      <w:r>
        <w:rPr>
          <w:szCs w:val="21"/>
        </w:rPr>
        <w:t>第六章 响应文件格式</w:t>
      </w:r>
    </w:p>
    <w:p>
      <w:pPr>
        <w:spacing w:before="120" w:line="320" w:lineRule="atLeast"/>
        <w:ind w:firstLineChars="200" w:firstLine="420"/>
        <w:outlineLvl w:val="2"/>
        <w:rPr>
          <w:b/>
          <w:bCs/>
          <w:kern w:val="0"/>
          <w:szCs w:val="21"/>
        </w:rPr>
      </w:pPr>
      <w:r>
        <w:rPr>
          <w:b/>
          <w:bCs/>
          <w:kern w:val="0"/>
          <w:szCs w:val="21"/>
        </w:rPr>
        <w:t>2.2供应商的风险</w:t>
      </w:r>
    </w:p>
    <w:p>
      <w:pPr>
        <w:spacing w:before="120" w:line="320" w:lineRule="atLeast"/>
        <w:ind w:firstLineChars="200" w:firstLine="420"/>
        <w:rPr>
          <w:szCs w:val="21"/>
        </w:rPr>
      </w:pPr>
      <w:r>
        <w:rPr>
          <w:szCs w:val="21"/>
        </w:rPr>
        <w:t>供应商没有按照采购文件要求提供全部资料，或者供应商没有对采购文件在各方面作出实质性响应是供应商的风险，并可能导致其响应被否决。</w:t>
      </w:r>
    </w:p>
    <w:p>
      <w:pPr>
        <w:spacing w:before="120" w:line="320" w:lineRule="atLeast"/>
        <w:ind w:firstLineChars="200" w:firstLine="420"/>
        <w:outlineLvl w:val="2"/>
        <w:rPr>
          <w:b/>
          <w:szCs w:val="21"/>
        </w:rPr>
      </w:pPr>
      <w:r>
        <w:rPr>
          <w:b/>
          <w:bCs/>
          <w:kern w:val="0"/>
          <w:szCs w:val="21"/>
        </w:rPr>
        <w:t>2.3采购文件的澄清与修改</w:t>
      </w:r>
    </w:p>
    <w:p>
      <w:pPr>
        <w:spacing w:before="120" w:line="320" w:lineRule="atLeast"/>
        <w:ind w:firstLineChars="200" w:firstLine="420"/>
        <w:rPr>
          <w:szCs w:val="21"/>
        </w:rPr>
      </w:pPr>
      <w:r>
        <w:rPr>
          <w:szCs w:val="21"/>
        </w:rPr>
        <w:t>2.3.1</w:t>
      </w:r>
      <w:r>
        <w:rPr>
          <w:rFonts w:hint="eastAsia"/>
          <w:szCs w:val="21"/>
        </w:rPr>
        <w:t>任何已获得采购文件的潜在供应商，均可</w:t>
      </w:r>
      <w:r>
        <w:rPr>
          <w:szCs w:val="21"/>
        </w:rPr>
        <w:t>以书面形式要求采购代理机构作出书面解释、澄清</w:t>
      </w:r>
      <w:r>
        <w:rPr>
          <w:rFonts w:hint="eastAsia"/>
          <w:szCs w:val="21"/>
        </w:rPr>
        <w:t>。</w:t>
      </w:r>
    </w:p>
    <w:p>
      <w:pPr>
        <w:spacing w:before="120" w:line="320" w:lineRule="atLeast"/>
        <w:ind w:firstLineChars="200" w:firstLine="420"/>
        <w:rPr>
          <w:szCs w:val="21"/>
        </w:rPr>
      </w:pPr>
      <w:r>
        <w:rPr>
          <w:szCs w:val="21"/>
        </w:rPr>
        <w:t>2.3.2</w:t>
      </w:r>
      <w:r>
        <w:rPr>
          <w:rFonts w:hint="eastAsia"/>
          <w:szCs w:val="21"/>
        </w:rPr>
        <w:t>采购人、采购代理机构可以对已发出的采购文件进行必要的澄清或者修改，澄清或者修改的内容可能影响响应文件编制的，采购人、采购代理机构应当在提交首次响应文件截止时间至少5日前，</w:t>
      </w:r>
      <w:bookmarkStart w:id="59" w:name="_Hlk133590520"/>
      <w:r>
        <w:rPr>
          <w:rFonts w:hint="eastAsia"/>
          <w:szCs w:val="21"/>
        </w:rPr>
        <w:t>在供应商须知前附表规定的方式</w:t>
      </w:r>
      <w:bookmarkEnd w:id="59"/>
      <w:r>
        <w:rPr>
          <w:rFonts w:hint="eastAsia"/>
          <w:szCs w:val="21"/>
        </w:rPr>
        <w:t>通知所有获取采购文件的潜在供应商；不足5日的，采购人、采购代理机构应当顺延提交首次响应文件截止时间。</w:t>
      </w:r>
    </w:p>
    <w:p>
      <w:pPr>
        <w:spacing w:before="120" w:line="320" w:lineRule="atLeast"/>
        <w:ind w:firstLineChars="200" w:firstLine="420"/>
        <w:rPr>
          <w:szCs w:val="21"/>
        </w:rPr>
      </w:pPr>
      <w:r>
        <w:rPr>
          <w:szCs w:val="21"/>
        </w:rPr>
        <w:t>2.3.3采购文件澄清、答复、修改、补充的内容为采购文件的组成部分。当采购文件与采购文件的答复、澄清、修改、补充通知就同一内容的表述不一致时，以最后发出的公告或书面文件为准。</w:t>
      </w:r>
    </w:p>
    <w:p>
      <w:pPr>
        <w:spacing w:before="120" w:line="320" w:lineRule="atLeast"/>
        <w:ind w:leftChars="1" w:left="2" w:firstLineChars="200" w:firstLine="420"/>
        <w:outlineLvl w:val="1"/>
        <w:rPr>
          <w:b/>
          <w:bCs/>
          <w:kern w:val="0"/>
          <w:szCs w:val="21"/>
        </w:rPr>
      </w:pPr>
      <w:bookmarkStart w:id="60" w:name="_Toc254970535"/>
      <w:bookmarkStart w:id="61" w:name="_Toc254970676"/>
      <w:r>
        <w:rPr>
          <w:b/>
          <w:bCs/>
          <w:kern w:val="0"/>
          <w:szCs w:val="21"/>
        </w:rPr>
        <w:t>3．响应文件</w:t>
      </w:r>
      <w:bookmarkEnd w:id="60"/>
      <w:bookmarkEnd w:id="61"/>
    </w:p>
    <w:p>
      <w:pPr>
        <w:spacing w:before="120" w:line="320" w:lineRule="atLeast"/>
        <w:ind w:firstLineChars="200" w:firstLine="420"/>
        <w:outlineLvl w:val="2"/>
        <w:rPr>
          <w:b/>
          <w:bCs/>
          <w:kern w:val="0"/>
          <w:szCs w:val="21"/>
        </w:rPr>
      </w:pPr>
      <w:bookmarkStart w:id="62" w:name="_Toc254970677"/>
      <w:bookmarkStart w:id="63" w:name="_Toc254970536"/>
      <w:r>
        <w:rPr>
          <w:b/>
          <w:bCs/>
          <w:kern w:val="0"/>
          <w:szCs w:val="21"/>
        </w:rPr>
        <w:t>3.1响应文件的组成</w:t>
      </w:r>
      <w:bookmarkEnd w:id="62"/>
      <w:bookmarkEnd w:id="63"/>
    </w:p>
    <w:p>
      <w:pPr>
        <w:spacing w:before="120" w:line="320" w:lineRule="atLeast"/>
        <w:ind w:firstLineChars="200" w:firstLine="420"/>
        <w:rPr>
          <w:szCs w:val="21"/>
        </w:rPr>
      </w:pPr>
      <w:r>
        <w:rPr>
          <w:szCs w:val="21"/>
        </w:rPr>
        <w:t>响应文件由第六章“响应文件格式”规定的</w:t>
      </w:r>
      <w:r>
        <w:rPr>
          <w:rFonts w:hint="eastAsia"/>
          <w:szCs w:val="21"/>
        </w:rPr>
        <w:t>内容</w:t>
      </w:r>
      <w:r>
        <w:rPr>
          <w:szCs w:val="21"/>
        </w:rPr>
        <w:t>和供应商所作的一切有效补充、修改和承诺等文件组成</w:t>
      </w:r>
      <w:r>
        <w:rPr>
          <w:rFonts w:hint="eastAsia"/>
          <w:szCs w:val="21"/>
        </w:rPr>
        <w:t>。</w:t>
      </w:r>
    </w:p>
    <w:p>
      <w:pPr>
        <w:spacing w:before="120" w:line="320" w:lineRule="atLeast"/>
        <w:ind w:firstLineChars="200" w:firstLine="420"/>
        <w:outlineLvl w:val="2"/>
        <w:rPr>
          <w:b/>
          <w:bCs/>
          <w:kern w:val="0"/>
          <w:szCs w:val="21"/>
        </w:rPr>
      </w:pPr>
      <w:bookmarkStart w:id="64" w:name="_Toc254970678"/>
      <w:bookmarkStart w:id="65" w:name="_Toc254970537"/>
      <w:r>
        <w:rPr>
          <w:b/>
          <w:szCs w:val="21"/>
        </w:rPr>
        <w:t>3.2</w:t>
      </w:r>
      <w:r>
        <w:rPr>
          <w:b/>
          <w:bCs/>
          <w:kern w:val="0"/>
          <w:szCs w:val="21"/>
        </w:rPr>
        <w:t>响应文件的语言及计量</w:t>
      </w:r>
      <w:bookmarkEnd w:id="64"/>
      <w:bookmarkEnd w:id="65"/>
    </w:p>
    <w:p>
      <w:pPr>
        <w:spacing w:before="120" w:line="320" w:lineRule="atLeast"/>
        <w:ind w:firstLineChars="200" w:firstLine="420"/>
        <w:rPr>
          <w:szCs w:val="21"/>
        </w:rPr>
      </w:pPr>
      <w:r>
        <w:rPr>
          <w:szCs w:val="21"/>
        </w:rPr>
        <w:t>3.2.1</w:t>
      </w:r>
      <w:r>
        <w:rPr>
          <w:rFonts w:hint="eastAsia"/>
          <w:szCs w:val="21"/>
        </w:rPr>
        <w:t>响应文件以及供应商与采购人就有关响应事宜的所有来往函电，均应以中文书写（除专用术语外，与招标响应有关的语言均使用中文。必要时专用术语应附有中文注释）。供应商提交的支持文件和印刷的文献可以使用别的语言，但其相应内容应同时附中文翻译文本，在解释响应文件时以中文翻译文本为主。对不同文字文本响应文件的解释发生异议的，以中文文本为准。</w:t>
      </w:r>
    </w:p>
    <w:p>
      <w:pPr>
        <w:spacing w:before="120" w:line="320" w:lineRule="atLeast"/>
        <w:ind w:firstLineChars="200" w:firstLine="420"/>
        <w:rPr>
          <w:szCs w:val="21"/>
        </w:rPr>
      </w:pPr>
      <w:r>
        <w:rPr>
          <w:szCs w:val="21"/>
        </w:rPr>
        <w:t>3.2.2计量单位采购文件已有明确规定的，响应使用采购文件规定的计量单位；采购文件没有规定的，应采用中华人民共和国法定计量单位。</w:t>
      </w:r>
    </w:p>
    <w:p>
      <w:pPr>
        <w:spacing w:before="120" w:line="320" w:lineRule="atLeast"/>
        <w:ind w:firstLineChars="200" w:firstLine="420"/>
        <w:outlineLvl w:val="2"/>
        <w:rPr>
          <w:b/>
          <w:bCs/>
          <w:kern w:val="0"/>
          <w:szCs w:val="21"/>
        </w:rPr>
      </w:pPr>
      <w:bookmarkStart w:id="66" w:name="_Toc254970679"/>
      <w:bookmarkStart w:id="67" w:name="_Toc254970538"/>
      <w:r>
        <w:rPr>
          <w:b/>
          <w:bCs/>
          <w:kern w:val="0"/>
          <w:szCs w:val="21"/>
        </w:rPr>
        <w:t>3.3响应报价</w:t>
      </w:r>
      <w:bookmarkEnd w:id="66"/>
      <w:bookmarkEnd w:id="67"/>
    </w:p>
    <w:p>
      <w:pPr>
        <w:spacing w:before="120" w:line="320" w:lineRule="atLeast"/>
        <w:ind w:firstLineChars="200" w:firstLine="420"/>
        <w:rPr>
          <w:szCs w:val="21"/>
        </w:rPr>
      </w:pPr>
      <w:r>
        <w:rPr>
          <w:szCs w:val="21"/>
        </w:rPr>
        <w:t>3.3.1响应报价应按采购文件中相关附表格式填写。</w:t>
      </w:r>
    </w:p>
    <w:p>
      <w:pPr>
        <w:spacing w:before="120" w:line="320" w:lineRule="atLeast"/>
        <w:ind w:firstLineChars="200" w:firstLine="420"/>
        <w:rPr>
          <w:szCs w:val="21"/>
        </w:rPr>
      </w:pPr>
      <w:r>
        <w:rPr>
          <w:szCs w:val="21"/>
        </w:rPr>
        <w:t>3.3.2响应文件只允许有一个报价，有选择的或有条件的报价将不予接受。</w:t>
      </w:r>
    </w:p>
    <w:p>
      <w:pPr>
        <w:widowControl w:val="0"/>
        <w:suppressAutoHyphens/>
        <w:spacing w:before="120" w:line="320" w:lineRule="atLeast"/>
        <w:ind w:firstLineChars="200" w:firstLine="420"/>
        <w:rPr>
          <w:kern w:val="2"/>
          <w:szCs w:val="21"/>
        </w:rPr>
      </w:pPr>
      <w:r>
        <w:rPr>
          <w:kern w:val="2"/>
          <w:szCs w:val="21"/>
        </w:rPr>
        <w:t>3.3.3对于本文件中未列明，而供应商认为必需的费用也需列入</w:t>
      </w:r>
      <w:r>
        <w:rPr>
          <w:rFonts w:hint="eastAsia"/>
          <w:kern w:val="2"/>
          <w:szCs w:val="21"/>
        </w:rPr>
        <w:t>响应报价</w:t>
      </w:r>
      <w:r>
        <w:rPr>
          <w:kern w:val="2"/>
          <w:szCs w:val="21"/>
        </w:rPr>
        <w:t>。在合同实施时，采购人将不予支付成交供应商没有列入的项目费用，并认为此项目的费用已包括在</w:t>
      </w:r>
      <w:r>
        <w:rPr>
          <w:rFonts w:hint="eastAsia"/>
          <w:kern w:val="2"/>
          <w:szCs w:val="21"/>
        </w:rPr>
        <w:t>响应报价</w:t>
      </w:r>
      <w:r>
        <w:rPr>
          <w:kern w:val="2"/>
          <w:szCs w:val="21"/>
        </w:rPr>
        <w:t>中。</w:t>
      </w:r>
    </w:p>
    <w:p>
      <w:pPr>
        <w:widowControl w:val="0"/>
        <w:suppressAutoHyphens/>
        <w:spacing w:before="120" w:line="320" w:lineRule="atLeast"/>
        <w:ind w:firstLineChars="200" w:firstLine="420"/>
        <w:rPr>
          <w:b/>
          <w:bCs/>
          <w:kern w:val="2"/>
          <w:szCs w:val="21"/>
        </w:rPr>
      </w:pPr>
      <w:r>
        <w:rPr>
          <w:rFonts w:hint="eastAsia"/>
          <w:kern w:val="2"/>
          <w:szCs w:val="21"/>
        </w:rPr>
        <w:t>3</w:t>
      </w:r>
      <w:r>
        <w:rPr>
          <w:kern w:val="2"/>
          <w:szCs w:val="21"/>
        </w:rPr>
        <w:t>.3.4</w:t>
      </w:r>
      <w:r>
        <w:rPr>
          <w:rFonts w:hint="eastAsia"/>
          <w:kern w:val="2"/>
          <w:szCs w:val="21"/>
        </w:rPr>
        <w:t>采购人不接受供应商给予的赠品、回扣或者与采购无关的其他商品、服务。</w:t>
      </w:r>
    </w:p>
    <w:p>
      <w:pPr>
        <w:spacing w:before="120" w:line="320" w:lineRule="atLeast"/>
        <w:ind w:firstLineChars="200" w:firstLine="420"/>
        <w:outlineLvl w:val="2"/>
        <w:rPr>
          <w:b/>
          <w:bCs/>
          <w:kern w:val="0"/>
          <w:szCs w:val="21"/>
        </w:rPr>
      </w:pPr>
      <w:r>
        <w:rPr>
          <w:b/>
          <w:bCs/>
          <w:kern w:val="0"/>
          <w:szCs w:val="21"/>
        </w:rPr>
        <w:t>3.4响应有效期</w:t>
      </w:r>
    </w:p>
    <w:p>
      <w:pPr>
        <w:spacing w:before="120" w:line="320" w:lineRule="atLeast"/>
        <w:ind w:firstLineChars="200" w:firstLine="420"/>
        <w:rPr>
          <w:szCs w:val="21"/>
        </w:rPr>
      </w:pPr>
      <w:r>
        <w:rPr>
          <w:szCs w:val="21"/>
        </w:rPr>
        <w:t>3.4.1如采购文件其他地方无特别规定</w:t>
      </w:r>
      <w:r>
        <w:rPr>
          <w:rFonts w:hint="eastAsia"/>
          <w:szCs w:val="21"/>
        </w:rPr>
        <w:t>，</w:t>
      </w:r>
      <w:r>
        <w:rPr>
          <w:szCs w:val="21"/>
        </w:rPr>
        <w:t>响应有效期则为响应截止之日起90天</w:t>
      </w:r>
      <w:r>
        <w:rPr>
          <w:rFonts w:hint="eastAsia"/>
          <w:szCs w:val="21"/>
        </w:rPr>
        <w:t>。</w:t>
      </w:r>
      <w:r>
        <w:rPr>
          <w:szCs w:val="21"/>
        </w:rPr>
        <w:t>在响应有效期内响应文件应保持有效。</w:t>
      </w:r>
      <w:r>
        <w:rPr>
          <w:b/>
          <w:bCs/>
          <w:szCs w:val="21"/>
        </w:rPr>
        <w:t>有效期不足的响应文件将被否决</w:t>
      </w:r>
      <w:r>
        <w:rPr>
          <w:szCs w:val="21"/>
        </w:rPr>
        <w:t>。</w:t>
      </w:r>
    </w:p>
    <w:p>
      <w:pPr>
        <w:spacing w:before="120" w:line="320" w:lineRule="atLeast"/>
        <w:ind w:firstLineChars="200" w:firstLine="420"/>
        <w:rPr>
          <w:szCs w:val="21"/>
        </w:rPr>
      </w:pPr>
      <w:r>
        <w:rPr>
          <w:szCs w:val="21"/>
        </w:rPr>
        <w:t>3.4.2在特殊情况下，采购人可与供应商协商延长响应文件的有效期，这种要求和答复均以书面形式进行。</w:t>
      </w:r>
    </w:p>
    <w:p>
      <w:pPr>
        <w:spacing w:before="120" w:line="320" w:lineRule="atLeast"/>
        <w:ind w:firstLineChars="200" w:firstLine="420"/>
        <w:rPr>
          <w:szCs w:val="21"/>
        </w:rPr>
      </w:pPr>
      <w:r>
        <w:rPr>
          <w:szCs w:val="21"/>
        </w:rPr>
        <w:t>3.4.3</w:t>
      </w:r>
      <w:r>
        <w:rPr>
          <w:rFonts w:hint="eastAsia"/>
          <w:szCs w:val="21"/>
        </w:rPr>
        <w:t>供应商同意延长的响应有效期的，如本项目要求提交保证金则应相应延长其磋商保证金的有效期，但不得要求或被允许修改或撤销其响应文件；供应商拒绝延长的，其响应无效，但供应商有权收回其磋商保证金。</w:t>
      </w:r>
    </w:p>
    <w:p>
      <w:pPr>
        <w:spacing w:before="120" w:line="320" w:lineRule="atLeast"/>
        <w:ind w:firstLineChars="200" w:firstLine="420"/>
        <w:outlineLvl w:val="2"/>
        <w:rPr>
          <w:b/>
          <w:bCs/>
          <w:kern w:val="0"/>
          <w:szCs w:val="21"/>
        </w:rPr>
      </w:pPr>
      <w:bookmarkStart w:id="68" w:name="_Toc254970541"/>
      <w:bookmarkStart w:id="69" w:name="_Toc254970682"/>
      <w:r>
        <w:rPr>
          <w:b/>
          <w:bCs/>
          <w:kern w:val="0"/>
          <w:szCs w:val="21"/>
        </w:rPr>
        <w:t>3.5磋商保证金</w:t>
      </w:r>
      <w:bookmarkEnd w:id="68"/>
      <w:bookmarkEnd w:id="69"/>
    </w:p>
    <w:p>
      <w:pPr>
        <w:spacing w:before="120" w:line="320" w:lineRule="atLeast"/>
        <w:ind w:firstLineChars="200" w:firstLine="420"/>
        <w:rPr>
          <w:szCs w:val="21"/>
        </w:rPr>
      </w:pPr>
      <w:r>
        <w:rPr>
          <w:szCs w:val="21"/>
        </w:rPr>
        <w:t>3.5.1供应商须按须知前附表规定提交磋商保证金，</w:t>
      </w:r>
      <w:r>
        <w:rPr>
          <w:b/>
          <w:bCs/>
          <w:szCs w:val="21"/>
        </w:rPr>
        <w:t>否则其响应将被否决</w:t>
      </w:r>
      <w:r>
        <w:rPr>
          <w:szCs w:val="21"/>
        </w:rPr>
        <w:t>。除采购文件规定不予退还保证金的情形外，代理机构在规定时间内退回供应商的磋商保证金（供应商自行承担因未按供应商须知前附表要求交纳导致磋商保证金无法及时退还的责任）。</w:t>
      </w:r>
    </w:p>
    <w:p>
      <w:pPr>
        <w:spacing w:before="120" w:line="320" w:lineRule="atLeast"/>
        <w:ind w:firstLineChars="200" w:firstLine="420"/>
        <w:rPr>
          <w:szCs w:val="21"/>
        </w:rPr>
      </w:pPr>
      <w:r>
        <w:rPr>
          <w:szCs w:val="21"/>
        </w:rPr>
        <w:t>3.5.2磋商保证金币种应与响应报价币种相同。</w:t>
      </w:r>
    </w:p>
    <w:p>
      <w:pPr>
        <w:spacing w:before="120" w:line="320" w:lineRule="atLeast"/>
        <w:ind w:firstLineChars="200" w:firstLine="420"/>
        <w:rPr>
          <w:szCs w:val="21"/>
        </w:rPr>
      </w:pPr>
      <w:r>
        <w:rPr>
          <w:szCs w:val="21"/>
        </w:rPr>
        <w:t>3.5.3未成交供应商的磋商保证金在成交通知书发出后5个工作日内退还。成交供应商的磋商保证金在合同签订后5个工作日内退还（办理退还手续时需要向采购代理机构提供两份合同复印件）。</w:t>
      </w:r>
    </w:p>
    <w:p>
      <w:pPr>
        <w:spacing w:before="120" w:line="320" w:lineRule="atLeast"/>
        <w:ind w:firstLineChars="200" w:firstLine="420"/>
        <w:rPr>
          <w:szCs w:val="21"/>
        </w:rPr>
      </w:pPr>
      <w:r>
        <w:rPr>
          <w:szCs w:val="21"/>
        </w:rPr>
        <w:t>3.5.4供应商有下列情形之一的，磋商保证金将不予退还：</w:t>
      </w:r>
    </w:p>
    <w:p>
      <w:pPr>
        <w:numPr>
          <w:ilvl w:val="0"/>
          <w:numId w:val="1"/>
        </w:numPr>
        <w:spacing w:before="120" w:line="320" w:lineRule="atLeast"/>
        <w:rPr>
          <w:szCs w:val="21"/>
        </w:rPr>
      </w:pPr>
      <w:r>
        <w:rPr>
          <w:szCs w:val="21"/>
        </w:rPr>
        <w:t>供应商在响应有效期内撤销响应文件的；</w:t>
      </w:r>
    </w:p>
    <w:p>
      <w:pPr>
        <w:numPr>
          <w:ilvl w:val="0"/>
          <w:numId w:val="1"/>
        </w:numPr>
        <w:spacing w:before="120" w:line="320" w:lineRule="atLeast"/>
        <w:rPr>
          <w:szCs w:val="21"/>
        </w:rPr>
      </w:pPr>
      <w:r>
        <w:rPr>
          <w:szCs w:val="21"/>
        </w:rPr>
        <w:t>供应商在响应过程中弄虚作假，提供虚假材料的；</w:t>
      </w:r>
    </w:p>
    <w:p>
      <w:pPr>
        <w:numPr>
          <w:ilvl w:val="0"/>
          <w:numId w:val="1"/>
        </w:numPr>
        <w:spacing w:before="120" w:line="320" w:lineRule="atLeast"/>
        <w:rPr>
          <w:szCs w:val="21"/>
        </w:rPr>
      </w:pPr>
      <w:r>
        <w:rPr>
          <w:szCs w:val="21"/>
        </w:rPr>
        <w:t>成交供应商无正当理由不与采购人签订合同的；</w:t>
      </w:r>
    </w:p>
    <w:p>
      <w:pPr>
        <w:numPr>
          <w:ilvl w:val="0"/>
          <w:numId w:val="1"/>
        </w:numPr>
        <w:spacing w:before="120" w:line="320" w:lineRule="atLeast"/>
        <w:rPr>
          <w:szCs w:val="21"/>
        </w:rPr>
      </w:pPr>
      <w:r>
        <w:rPr>
          <w:szCs w:val="21"/>
        </w:rPr>
        <w:t>将</w:t>
      </w:r>
      <w:r>
        <w:rPr>
          <w:rFonts w:hint="eastAsia"/>
          <w:szCs w:val="21"/>
        </w:rPr>
        <w:t>成交</w:t>
      </w:r>
      <w:r>
        <w:rPr>
          <w:szCs w:val="21"/>
        </w:rPr>
        <w:t>项目转让给他人或者在响应文件中未说明且未经采购人同意，将</w:t>
      </w:r>
      <w:r>
        <w:rPr>
          <w:rFonts w:hint="eastAsia"/>
          <w:szCs w:val="21"/>
        </w:rPr>
        <w:t>成交</w:t>
      </w:r>
      <w:r>
        <w:rPr>
          <w:szCs w:val="21"/>
        </w:rPr>
        <w:t>项目分包给他人的；</w:t>
      </w:r>
    </w:p>
    <w:p>
      <w:pPr>
        <w:numPr>
          <w:ilvl w:val="0"/>
          <w:numId w:val="1"/>
        </w:numPr>
        <w:spacing w:before="120" w:line="320" w:lineRule="atLeast"/>
        <w:rPr>
          <w:szCs w:val="21"/>
        </w:rPr>
      </w:pPr>
      <w:r>
        <w:rPr>
          <w:rFonts w:hint="eastAsia"/>
          <w:szCs w:val="21"/>
        </w:rPr>
        <w:t>供应商与采购人、其他供应商或者采购代理机构恶意串通的；</w:t>
      </w:r>
    </w:p>
    <w:p>
      <w:pPr>
        <w:numPr>
          <w:ilvl w:val="0"/>
          <w:numId w:val="1"/>
        </w:numPr>
        <w:spacing w:before="120" w:line="320" w:lineRule="atLeast"/>
        <w:rPr>
          <w:szCs w:val="21"/>
        </w:rPr>
      </w:pPr>
      <w:r>
        <w:rPr>
          <w:szCs w:val="21"/>
        </w:rPr>
        <w:t>拒绝履行合同义务的；</w:t>
      </w:r>
    </w:p>
    <w:p>
      <w:pPr>
        <w:numPr>
          <w:ilvl w:val="0"/>
          <w:numId w:val="1"/>
        </w:numPr>
        <w:spacing w:before="120" w:line="320" w:lineRule="atLeast"/>
        <w:rPr>
          <w:szCs w:val="21"/>
        </w:rPr>
      </w:pPr>
      <w:r>
        <w:rPr>
          <w:szCs w:val="21"/>
        </w:rPr>
        <w:t>其他严重扰乱招</w:t>
      </w:r>
      <w:r>
        <w:rPr>
          <w:rFonts w:hint="eastAsia"/>
          <w:szCs w:val="21"/>
        </w:rPr>
        <w:t>投标</w:t>
      </w:r>
      <w:r>
        <w:rPr>
          <w:szCs w:val="21"/>
        </w:rPr>
        <w:t>程序的</w:t>
      </w:r>
      <w:r>
        <w:rPr>
          <w:rFonts w:hint="eastAsia"/>
          <w:szCs w:val="21"/>
        </w:rPr>
        <w:t>。</w:t>
      </w:r>
    </w:p>
    <w:p>
      <w:pPr>
        <w:spacing w:before="120" w:line="320" w:lineRule="atLeast"/>
        <w:ind w:firstLineChars="200" w:firstLine="420"/>
        <w:outlineLvl w:val="2"/>
        <w:rPr>
          <w:b/>
          <w:bCs/>
          <w:kern w:val="0"/>
          <w:szCs w:val="21"/>
        </w:rPr>
      </w:pPr>
      <w:bookmarkStart w:id="70" w:name="_Toc254970683"/>
      <w:bookmarkStart w:id="71" w:name="_Toc254970542"/>
      <w:r>
        <w:rPr>
          <w:b/>
          <w:bCs/>
          <w:kern w:val="0"/>
          <w:szCs w:val="21"/>
        </w:rPr>
        <w:t>3.6响应文件的</w:t>
      </w:r>
      <w:bookmarkEnd w:id="70"/>
      <w:bookmarkEnd w:id="71"/>
      <w:r>
        <w:rPr>
          <w:b/>
          <w:bCs/>
          <w:kern w:val="0"/>
          <w:szCs w:val="21"/>
        </w:rPr>
        <w:t>编制要求</w:t>
      </w:r>
    </w:p>
    <w:p>
      <w:pPr>
        <w:spacing w:before="120" w:line="320" w:lineRule="atLeast"/>
        <w:ind w:firstLineChars="200" w:firstLine="420"/>
        <w:rPr>
          <w:szCs w:val="21"/>
        </w:rPr>
      </w:pPr>
      <w:r>
        <w:rPr>
          <w:rFonts w:hint="eastAsia"/>
          <w:szCs w:val="21"/>
        </w:rPr>
        <w:t>3.6.</w:t>
      </w:r>
      <w:r>
        <w:rPr>
          <w:rFonts w:hint="eastAsia"/>
          <w:szCs w:val="21"/>
          <w:lang w:val="en-US" w:eastAsia="zh-CN"/>
        </w:rPr>
        <w:t>1</w:t>
      </w:r>
      <w:r>
        <w:rPr>
          <w:rFonts w:hint="eastAsia"/>
          <w:szCs w:val="21"/>
        </w:rPr>
        <w:t>供应商应按本采购文件规定的格式和顺序编制响应文件。</w:t>
      </w:r>
    </w:p>
    <w:p>
      <w:pPr>
        <w:spacing w:before="120" w:line="320" w:lineRule="atLeast"/>
        <w:ind w:firstLineChars="200" w:firstLine="420"/>
        <w:rPr>
          <w:szCs w:val="21"/>
        </w:rPr>
      </w:pPr>
      <w:r>
        <w:rPr>
          <w:rFonts w:hint="eastAsia"/>
          <w:szCs w:val="21"/>
        </w:rPr>
        <w:t>3.6.</w:t>
      </w:r>
      <w:r>
        <w:rPr>
          <w:rFonts w:hint="eastAsia"/>
          <w:szCs w:val="21"/>
          <w:lang w:val="en-US" w:eastAsia="zh-CN"/>
        </w:rPr>
        <w:t>2</w:t>
      </w:r>
      <w:r>
        <w:rPr>
          <w:rFonts w:hint="eastAsia"/>
          <w:szCs w:val="21"/>
        </w:rPr>
        <w:t xml:space="preserve"> 供应商的响应文件未按照采购文件要求签署、盖章的，</w:t>
      </w:r>
      <w:r>
        <w:rPr>
          <w:rFonts w:hint="eastAsia"/>
          <w:b/>
          <w:bCs/>
          <w:szCs w:val="21"/>
        </w:rPr>
        <w:t>其响应无效</w:t>
      </w:r>
      <w:r>
        <w:rPr>
          <w:rFonts w:hint="eastAsia"/>
          <w:szCs w:val="21"/>
        </w:rPr>
        <w:t>。</w:t>
      </w:r>
    </w:p>
    <w:p>
      <w:pPr>
        <w:spacing w:before="120" w:line="320" w:lineRule="atLeast"/>
        <w:ind w:firstLineChars="200" w:firstLine="420"/>
        <w:rPr>
          <w:szCs w:val="21"/>
        </w:rPr>
      </w:pPr>
      <w:r>
        <w:rPr>
          <w:rFonts w:hint="eastAsia"/>
          <w:szCs w:val="21"/>
        </w:rPr>
        <w:t>3</w:t>
      </w:r>
      <w:r>
        <w:rPr>
          <w:szCs w:val="21"/>
        </w:rPr>
        <w:t>.6.</w:t>
      </w:r>
      <w:r>
        <w:rPr>
          <w:rFonts w:hint="eastAsia"/>
          <w:szCs w:val="21"/>
          <w:lang w:val="en-US" w:eastAsia="zh-CN"/>
        </w:rPr>
        <w:t>3</w:t>
      </w:r>
      <w:r>
        <w:rPr>
          <w:rFonts w:hint="eastAsia"/>
          <w:szCs w:val="21"/>
        </w:rPr>
        <w:t>响应文件中标注的供应商名称应与主体资格证明（如营业执照、事业单位法人证书、执业许可证、个体工商户营业执照、自然人身份证等）和公章/公章一致，</w:t>
      </w:r>
      <w:r>
        <w:rPr>
          <w:rFonts w:hint="eastAsia"/>
          <w:b/>
          <w:bCs/>
          <w:szCs w:val="21"/>
        </w:rPr>
        <w:t>否则作无效响应处理。</w:t>
      </w:r>
    </w:p>
    <w:p>
      <w:pPr>
        <w:spacing w:before="120" w:line="320" w:lineRule="atLeast"/>
        <w:ind w:firstLineChars="200" w:firstLine="420"/>
        <w:outlineLvl w:val="2"/>
        <w:rPr>
          <w:b/>
          <w:bCs/>
          <w:kern w:val="0"/>
          <w:szCs w:val="21"/>
        </w:rPr>
      </w:pPr>
      <w:r>
        <w:rPr>
          <w:b/>
          <w:bCs/>
          <w:kern w:val="0"/>
          <w:szCs w:val="21"/>
        </w:rPr>
        <w:t>3.7响应文件的递交、修改和撤回</w:t>
      </w:r>
    </w:p>
    <w:p>
      <w:pPr>
        <w:spacing w:before="120" w:line="320" w:lineRule="atLeast"/>
        <w:ind w:firstLineChars="200" w:firstLine="420"/>
        <w:rPr>
          <w:szCs w:val="21"/>
        </w:rPr>
      </w:pPr>
      <w:r>
        <w:rPr>
          <w:szCs w:val="21"/>
        </w:rPr>
        <w:t>3.7.1</w:t>
      </w:r>
      <w:r>
        <w:rPr>
          <w:rFonts w:hint="eastAsia"/>
          <w:szCs w:val="21"/>
        </w:rPr>
        <w:t>供应商必须在“供应商须知前附表”规定的响应文件截标时间和响应地点提交响应文件。</w:t>
      </w:r>
    </w:p>
    <w:p>
      <w:pPr>
        <w:spacing w:before="120" w:line="320" w:lineRule="atLeast"/>
        <w:ind w:leftChars="1" w:left="2" w:firstLineChars="200" w:firstLine="420"/>
        <w:rPr>
          <w:szCs w:val="21"/>
        </w:rPr>
      </w:pPr>
      <w:r>
        <w:rPr>
          <w:rFonts w:hint="eastAsia"/>
          <w:szCs w:val="21"/>
        </w:rPr>
        <w:t>3</w:t>
      </w:r>
      <w:r>
        <w:rPr>
          <w:szCs w:val="21"/>
        </w:rPr>
        <w:t>.7.</w:t>
      </w:r>
      <w:r>
        <w:rPr>
          <w:rFonts w:hint="eastAsia"/>
          <w:szCs w:val="21"/>
          <w:lang w:val="en-US" w:eastAsia="zh-CN"/>
        </w:rPr>
        <w:t>2</w:t>
      </w:r>
      <w:r>
        <w:rPr>
          <w:rFonts w:hint="eastAsia"/>
          <w:szCs w:val="21"/>
        </w:rPr>
        <w:t>供应商应当在响应截止时间前完成响应文件的</w:t>
      </w:r>
      <w:r>
        <w:rPr>
          <w:rFonts w:hint="eastAsia"/>
          <w:szCs w:val="21"/>
          <w:lang w:val="en-US" w:eastAsia="zh-CN"/>
        </w:rPr>
        <w:t>递交</w:t>
      </w:r>
      <w:r>
        <w:rPr>
          <w:rFonts w:hint="eastAsia"/>
          <w:szCs w:val="21"/>
        </w:rPr>
        <w:t>，并可以补充、修改或者撤回响应文件。补充或者修改响应文件的，应当先行撤回原文件，补充、修改后重新递交。响应截止时间前未完成</w:t>
      </w:r>
      <w:r>
        <w:rPr>
          <w:rFonts w:hint="eastAsia"/>
          <w:szCs w:val="21"/>
          <w:lang w:val="en-US" w:eastAsia="zh-CN"/>
        </w:rPr>
        <w:t>重新递交</w:t>
      </w:r>
      <w:r>
        <w:rPr>
          <w:rFonts w:hint="eastAsia"/>
          <w:szCs w:val="21"/>
        </w:rPr>
        <w:t>的，视为撤回响应文件。响应截止时间后递交的响应文件</w:t>
      </w:r>
      <w:r>
        <w:rPr>
          <w:rFonts w:hint="eastAsia"/>
          <w:szCs w:val="21"/>
          <w:lang w:eastAsia="zh-CN"/>
        </w:rPr>
        <w:t>的</w:t>
      </w:r>
      <w:r>
        <w:rPr>
          <w:rFonts w:hint="eastAsia"/>
          <w:szCs w:val="21"/>
        </w:rPr>
        <w:t>将拒收。</w:t>
      </w:r>
    </w:p>
    <w:p>
      <w:pPr>
        <w:spacing w:before="120" w:line="320" w:lineRule="atLeast"/>
        <w:ind w:leftChars="1" w:left="2" w:firstLineChars="200" w:firstLine="420"/>
        <w:rPr>
          <w:szCs w:val="21"/>
        </w:rPr>
      </w:pPr>
      <w:r>
        <w:rPr>
          <w:szCs w:val="21"/>
        </w:rPr>
        <w:t>3.7.</w:t>
      </w:r>
      <w:r>
        <w:rPr>
          <w:rFonts w:hint="eastAsia"/>
          <w:szCs w:val="21"/>
          <w:lang w:val="en-US" w:eastAsia="zh-CN"/>
        </w:rPr>
        <w:t>3</w:t>
      </w:r>
      <w:r>
        <w:rPr>
          <w:rFonts w:hint="eastAsia"/>
          <w:szCs w:val="21"/>
        </w:rPr>
        <w:t>在响应截止时间前，除供应商补充、修改或者撤回响应文件外，任何单位和个人不得</w:t>
      </w:r>
      <w:r>
        <w:rPr>
          <w:rFonts w:hint="eastAsia"/>
          <w:szCs w:val="21"/>
          <w:lang w:val="en-US" w:eastAsia="zh-CN"/>
        </w:rPr>
        <w:t>开启</w:t>
      </w:r>
      <w:r>
        <w:rPr>
          <w:rFonts w:hint="eastAsia"/>
          <w:szCs w:val="21"/>
        </w:rPr>
        <w:t>响应文件。</w:t>
      </w:r>
    </w:p>
    <w:p>
      <w:pPr>
        <w:spacing w:before="120" w:line="320" w:lineRule="atLeast"/>
        <w:ind w:leftChars="1" w:left="2" w:firstLineChars="200" w:firstLine="420"/>
        <w:rPr>
          <w:szCs w:val="21"/>
        </w:rPr>
      </w:pPr>
      <w:r>
        <w:rPr>
          <w:szCs w:val="21"/>
        </w:rPr>
        <w:t>3.7.</w:t>
      </w:r>
      <w:r>
        <w:rPr>
          <w:rFonts w:hint="eastAsia"/>
          <w:szCs w:val="21"/>
          <w:lang w:val="en-US" w:eastAsia="zh-CN"/>
        </w:rPr>
        <w:t>4</w:t>
      </w:r>
      <w:r>
        <w:rPr>
          <w:rFonts w:hint="eastAsia"/>
          <w:szCs w:val="21"/>
        </w:rPr>
        <w:t>在响应截止时间止提交响应文件的供应商不足3家时，响应文件由代理机构退回，除此之外采购人和采购代理机构对已提交的响应文件概不退回。</w:t>
      </w:r>
    </w:p>
    <w:p>
      <w:pPr>
        <w:spacing w:before="120" w:line="320" w:lineRule="atLeast"/>
        <w:ind w:leftChars="1" w:left="2" w:firstLineChars="200" w:firstLine="420"/>
        <w:rPr>
          <w:szCs w:val="21"/>
        </w:rPr>
      </w:pPr>
      <w:bookmarkStart w:id="72" w:name="_Hlk93046827"/>
      <w:r>
        <w:rPr>
          <w:rFonts w:hint="eastAsia"/>
          <w:szCs w:val="21"/>
        </w:rPr>
        <w:t>3</w:t>
      </w:r>
      <w:r>
        <w:rPr>
          <w:szCs w:val="21"/>
        </w:rPr>
        <w:t>.7.</w:t>
      </w:r>
      <w:bookmarkEnd w:id="72"/>
      <w:r>
        <w:rPr>
          <w:rFonts w:hint="eastAsia"/>
          <w:szCs w:val="21"/>
          <w:lang w:val="en-US" w:eastAsia="zh-CN"/>
        </w:rPr>
        <w:t>5</w:t>
      </w:r>
      <w:r>
        <w:rPr>
          <w:rFonts w:hint="eastAsia"/>
          <w:szCs w:val="21"/>
        </w:rPr>
        <w:t>采购文件未允许同一供应商提交两个或以上不同的响应文件，但存在同一供应商提交两个或以上不同的响应文件的，其响应无效。供应商在同一响应文件中对某项技术、商务要求提供有选择性的响应参数或方案等同于提交两个或以上不同的响应文件。</w:t>
      </w:r>
    </w:p>
    <w:p>
      <w:pPr>
        <w:spacing w:before="120" w:line="320" w:lineRule="atLeast"/>
        <w:ind w:leftChars="1" w:left="2" w:firstLineChars="200" w:firstLine="420"/>
        <w:outlineLvl w:val="1"/>
        <w:rPr>
          <w:b/>
          <w:bCs/>
          <w:kern w:val="0"/>
          <w:szCs w:val="21"/>
        </w:rPr>
      </w:pPr>
      <w:r>
        <w:rPr>
          <w:b/>
          <w:bCs/>
          <w:kern w:val="0"/>
          <w:szCs w:val="21"/>
        </w:rPr>
        <w:t>4．截标</w:t>
      </w:r>
    </w:p>
    <w:p>
      <w:pPr>
        <w:spacing w:before="120" w:line="320" w:lineRule="atLeast"/>
        <w:ind w:firstLineChars="200" w:firstLine="420"/>
        <w:outlineLvl w:val="2"/>
        <w:rPr>
          <w:b/>
          <w:bCs/>
          <w:kern w:val="0"/>
          <w:szCs w:val="21"/>
        </w:rPr>
      </w:pPr>
      <w:r>
        <w:rPr>
          <w:b/>
          <w:bCs/>
          <w:kern w:val="0"/>
          <w:szCs w:val="21"/>
        </w:rPr>
        <w:t>4.1截标准备</w:t>
      </w:r>
    </w:p>
    <w:p>
      <w:pPr>
        <w:spacing w:before="120" w:line="276" w:lineRule="auto"/>
        <w:ind w:firstLineChars="200" w:firstLine="420"/>
        <w:rPr>
          <w:szCs w:val="21"/>
        </w:rPr>
      </w:pPr>
      <w:r>
        <w:rPr>
          <w:szCs w:val="21"/>
        </w:rPr>
        <w:t>本项目响应截止时间及地点见“供应商须知前附表”规定。</w:t>
      </w:r>
    </w:p>
    <w:p>
      <w:pPr>
        <w:autoSpaceDE w:val="0"/>
        <w:autoSpaceDN w:val="0"/>
        <w:adjustRightInd w:val="0"/>
        <w:spacing w:line="276" w:lineRule="auto"/>
        <w:ind w:firstLineChars="200" w:firstLine="420"/>
        <w:rPr>
          <w:szCs w:val="21"/>
        </w:rPr>
      </w:pPr>
      <w:r>
        <w:rPr>
          <w:rFonts w:hint="eastAsia"/>
          <w:szCs w:val="21"/>
        </w:rPr>
        <w:t>供应商</w:t>
      </w:r>
      <w:r>
        <w:rPr>
          <w:szCs w:val="21"/>
        </w:rPr>
        <w:t>如不</w:t>
      </w:r>
      <w:r>
        <w:rPr>
          <w:rFonts w:hint="eastAsia"/>
          <w:szCs w:val="21"/>
        </w:rPr>
        <w:t>参加</w:t>
      </w:r>
      <w:r>
        <w:rPr>
          <w:szCs w:val="21"/>
        </w:rPr>
        <w:t>截标大会的，</w:t>
      </w:r>
      <w:r>
        <w:rPr>
          <w:rFonts w:hint="eastAsia"/>
          <w:szCs w:val="21"/>
        </w:rPr>
        <w:t>视同认可截标结果，</w:t>
      </w:r>
      <w:r>
        <w:rPr>
          <w:szCs w:val="21"/>
        </w:rPr>
        <w:t>事后不得对采购相关人员、截标过程和截标结果提出异议</w:t>
      </w:r>
      <w:r>
        <w:rPr>
          <w:rFonts w:hint="eastAsia"/>
          <w:szCs w:val="21"/>
        </w:rPr>
        <w:t>，同时供应商因未参加截标而导致响应文件无法按时</w:t>
      </w:r>
      <w:r>
        <w:rPr>
          <w:rFonts w:hint="eastAsia"/>
          <w:szCs w:val="21"/>
          <w:lang w:val="en-US" w:eastAsia="zh-CN"/>
        </w:rPr>
        <w:t>递交</w:t>
      </w:r>
      <w:r>
        <w:rPr>
          <w:rFonts w:hint="eastAsia"/>
          <w:szCs w:val="21"/>
        </w:rPr>
        <w:t>等一切后果由供应商自己承担。</w:t>
      </w:r>
    </w:p>
    <w:p>
      <w:pPr>
        <w:spacing w:before="120" w:line="320" w:lineRule="atLeast"/>
        <w:ind w:firstLineChars="200" w:firstLine="420"/>
        <w:outlineLvl w:val="2"/>
        <w:rPr>
          <w:b/>
          <w:bCs/>
          <w:kern w:val="0"/>
          <w:szCs w:val="21"/>
        </w:rPr>
      </w:pPr>
      <w:r>
        <w:rPr>
          <w:b/>
          <w:bCs/>
          <w:kern w:val="0"/>
          <w:szCs w:val="21"/>
        </w:rPr>
        <w:t>4.2截标程序</w:t>
      </w:r>
    </w:p>
    <w:p>
      <w:pPr>
        <w:spacing w:before="120" w:line="320" w:lineRule="atLeast"/>
        <w:ind w:firstLineChars="200" w:firstLine="420"/>
        <w:rPr>
          <w:szCs w:val="21"/>
        </w:rPr>
      </w:pPr>
      <w:r>
        <w:rPr>
          <w:rFonts w:hint="eastAsia"/>
          <w:szCs w:val="21"/>
        </w:rPr>
        <w:t>4.2.1宣布截标；宣读截标纪律；宣布截标人、监标人等有关人员名单；如有授权代表到现场参加截标会议，由采购人或采购代理机构检查授权代表的资格证件（包括身份证原件、授权委托书）。</w:t>
      </w:r>
    </w:p>
    <w:p>
      <w:pPr>
        <w:spacing w:before="120" w:line="320" w:lineRule="atLeast"/>
        <w:ind w:firstLineChars="200" w:firstLine="420"/>
        <w:rPr>
          <w:szCs w:val="21"/>
        </w:rPr>
      </w:pPr>
      <w:r>
        <w:rPr>
          <w:rFonts w:hint="eastAsia"/>
          <w:szCs w:val="21"/>
        </w:rPr>
        <w:t>4.2.2公布截标前递交响应文件的供应商名单。</w:t>
      </w:r>
    </w:p>
    <w:p>
      <w:pPr>
        <w:spacing w:before="120" w:line="320" w:lineRule="atLeast"/>
        <w:ind w:firstLineChars="200" w:firstLine="420"/>
        <w:rPr>
          <w:szCs w:val="21"/>
        </w:rPr>
      </w:pPr>
      <w:r>
        <w:rPr>
          <w:rFonts w:hint="eastAsia"/>
          <w:szCs w:val="21"/>
        </w:rPr>
        <w:t>4.2.3截标结束。</w:t>
      </w:r>
    </w:p>
    <w:p>
      <w:pPr>
        <w:spacing w:before="120" w:line="320" w:lineRule="atLeast"/>
        <w:ind w:firstLineChars="200" w:firstLine="420"/>
        <w:outlineLvl w:val="2"/>
        <w:rPr>
          <w:b/>
          <w:bCs/>
          <w:kern w:val="0"/>
          <w:szCs w:val="21"/>
        </w:rPr>
      </w:pPr>
      <w:r>
        <w:rPr>
          <w:b/>
          <w:bCs/>
          <w:kern w:val="0"/>
          <w:szCs w:val="21"/>
        </w:rPr>
        <w:t>4.3演示</w:t>
      </w:r>
    </w:p>
    <w:p>
      <w:pPr>
        <w:spacing w:before="120" w:line="320" w:lineRule="atLeast"/>
        <w:ind w:firstLineChars="200" w:firstLine="420"/>
        <w:rPr>
          <w:szCs w:val="21"/>
        </w:rPr>
      </w:pPr>
      <w:r>
        <w:rPr>
          <w:szCs w:val="21"/>
        </w:rPr>
        <w:t>供应商</w:t>
      </w:r>
      <w:r>
        <w:rPr>
          <w:rFonts w:hint="eastAsia"/>
          <w:szCs w:val="21"/>
        </w:rPr>
        <w:t>是否</w:t>
      </w:r>
      <w:r>
        <w:rPr>
          <w:szCs w:val="21"/>
        </w:rPr>
        <w:t>在截标会议结束后进行演示</w:t>
      </w:r>
      <w:r>
        <w:rPr>
          <w:rFonts w:hint="eastAsia"/>
          <w:szCs w:val="21"/>
        </w:rPr>
        <w:t>：否</w:t>
      </w:r>
      <w:r>
        <w:rPr>
          <w:szCs w:val="21"/>
        </w:rPr>
        <w:t>。</w:t>
      </w:r>
    </w:p>
    <w:p>
      <w:pPr>
        <w:spacing w:before="120" w:line="320" w:lineRule="atLeast"/>
        <w:ind w:firstLineChars="200" w:firstLine="420"/>
        <w:outlineLvl w:val="2"/>
        <w:rPr>
          <w:szCs w:val="21"/>
        </w:rPr>
      </w:pPr>
      <w:r>
        <w:rPr>
          <w:b/>
          <w:bCs/>
          <w:kern w:val="0"/>
          <w:szCs w:val="21"/>
        </w:rPr>
        <w:t>4.4样品</w:t>
      </w:r>
    </w:p>
    <w:p>
      <w:pPr>
        <w:spacing w:before="120" w:line="320" w:lineRule="atLeast"/>
        <w:ind w:firstLineChars="200" w:firstLine="420"/>
        <w:rPr>
          <w:szCs w:val="21"/>
        </w:rPr>
      </w:pPr>
      <w:r>
        <w:rPr>
          <w:rFonts w:hint="eastAsia"/>
          <w:szCs w:val="21"/>
        </w:rPr>
        <w:t>供应商是否需要递交样品：否。</w:t>
      </w:r>
    </w:p>
    <w:p>
      <w:pPr>
        <w:spacing w:before="120" w:line="320" w:lineRule="atLeast"/>
        <w:ind w:leftChars="1" w:left="2" w:firstLineChars="200" w:firstLine="420"/>
        <w:outlineLvl w:val="1"/>
        <w:rPr>
          <w:b/>
          <w:bCs/>
          <w:kern w:val="0"/>
          <w:szCs w:val="21"/>
        </w:rPr>
      </w:pPr>
      <w:r>
        <w:rPr>
          <w:b/>
          <w:bCs/>
          <w:kern w:val="0"/>
          <w:szCs w:val="21"/>
        </w:rPr>
        <w:t>5．</w:t>
      </w:r>
      <w:r>
        <w:rPr>
          <w:rFonts w:hint="eastAsia"/>
          <w:b/>
          <w:bCs/>
          <w:kern w:val="0"/>
          <w:szCs w:val="21"/>
        </w:rPr>
        <w:t>资格审查</w:t>
      </w:r>
    </w:p>
    <w:p>
      <w:pPr>
        <w:spacing w:before="120" w:line="320" w:lineRule="atLeast"/>
        <w:ind w:leftChars="1" w:left="2" w:firstLineChars="200" w:firstLine="420"/>
        <w:outlineLvl w:val="2"/>
        <w:rPr>
          <w:bCs/>
          <w:kern w:val="0"/>
          <w:szCs w:val="21"/>
        </w:rPr>
      </w:pPr>
      <w:r>
        <w:rPr>
          <w:rFonts w:hint="eastAsia"/>
          <w:bCs/>
          <w:kern w:val="0"/>
          <w:szCs w:val="21"/>
        </w:rPr>
        <w:t>5</w:t>
      </w:r>
      <w:r>
        <w:rPr>
          <w:bCs/>
          <w:kern w:val="0"/>
          <w:szCs w:val="21"/>
        </w:rPr>
        <w:t>.1</w:t>
      </w:r>
      <w:r>
        <w:rPr>
          <w:rFonts w:hint="eastAsia"/>
          <w:bCs/>
          <w:kern w:val="0"/>
          <w:szCs w:val="21"/>
        </w:rPr>
        <w:t>截标</w:t>
      </w:r>
      <w:r>
        <w:rPr>
          <w:rFonts w:ascii="宋体"/>
          <w:bCs/>
          <w:szCs w:val="21"/>
        </w:rPr>
        <w:t>后，</w:t>
      </w:r>
      <w:r>
        <w:rPr>
          <w:rFonts w:ascii="宋体" w:hint="eastAsia"/>
          <w:bCs/>
          <w:szCs w:val="21"/>
        </w:rPr>
        <w:t>磋商小组通过响应文件</w:t>
      </w:r>
      <w:r>
        <w:rPr>
          <w:rFonts w:ascii="宋体"/>
          <w:bCs/>
          <w:szCs w:val="21"/>
        </w:rPr>
        <w:t>对供应商的资格进行审查。</w:t>
      </w:r>
      <w:r>
        <w:rPr>
          <w:rFonts w:ascii="宋体" w:hint="eastAsia"/>
          <w:bCs/>
          <w:szCs w:val="21"/>
        </w:rPr>
        <w:t>资格审查</w:t>
      </w:r>
      <w:r>
        <w:rPr>
          <w:rFonts w:hint="eastAsia"/>
          <w:bCs/>
          <w:kern w:val="0"/>
          <w:szCs w:val="21"/>
        </w:rPr>
        <w:t>是根据法律法规和采购文件的规定，对供应商的基本资格条件、特定资格条件进行审查。</w:t>
      </w:r>
    </w:p>
    <w:p>
      <w:pPr>
        <w:spacing w:before="120" w:line="320" w:lineRule="atLeast"/>
        <w:ind w:leftChars="1" w:left="2" w:firstLineChars="200" w:firstLine="420"/>
        <w:outlineLvl w:val="2"/>
        <w:rPr>
          <w:bCs/>
          <w:kern w:val="0"/>
          <w:szCs w:val="21"/>
        </w:rPr>
      </w:pPr>
      <w:r>
        <w:rPr>
          <w:rFonts w:hint="eastAsia"/>
          <w:bCs/>
          <w:kern w:val="0"/>
          <w:szCs w:val="21"/>
        </w:rPr>
        <w:t>5.</w:t>
      </w:r>
      <w:r>
        <w:rPr>
          <w:bCs/>
          <w:kern w:val="0"/>
          <w:szCs w:val="21"/>
        </w:rPr>
        <w:t>2</w:t>
      </w:r>
      <w:r>
        <w:rPr>
          <w:rFonts w:hint="eastAsia"/>
          <w:bCs/>
          <w:kern w:val="0"/>
          <w:szCs w:val="21"/>
        </w:rPr>
        <w:t>资格审查标准在第四章评审方法及标准中规定，符合资格审查标准要求的供应商即为资格审查合格。</w:t>
      </w:r>
    </w:p>
    <w:p>
      <w:pPr>
        <w:spacing w:before="120" w:line="276" w:lineRule="auto"/>
        <w:ind w:leftChars="1" w:left="2" w:firstLineChars="200" w:firstLine="420"/>
        <w:outlineLvl w:val="2"/>
        <w:rPr>
          <w:bCs/>
          <w:kern w:val="0"/>
          <w:szCs w:val="21"/>
        </w:rPr>
      </w:pPr>
      <w:r>
        <w:rPr>
          <w:bCs/>
          <w:kern w:val="0"/>
          <w:szCs w:val="21"/>
        </w:rPr>
        <w:t>5.3</w:t>
      </w:r>
      <w:r>
        <w:rPr>
          <w:rFonts w:hint="eastAsia"/>
          <w:bCs/>
          <w:kern w:val="0"/>
          <w:szCs w:val="21"/>
        </w:rPr>
        <w:t>供应商有下列情形之一的，资格审查不合格，作无效响应处理：</w:t>
      </w:r>
    </w:p>
    <w:p>
      <w:pPr>
        <w:spacing w:line="276" w:lineRule="auto"/>
        <w:ind w:firstLineChars="200" w:firstLine="420"/>
        <w:rPr>
          <w:rFonts w:hint="eastAsia"/>
        </w:rPr>
      </w:pPr>
      <w:r>
        <w:rPr>
          <w:rFonts w:hint="eastAsia"/>
          <w:szCs w:val="21"/>
        </w:rPr>
        <w:t>5</w:t>
      </w:r>
      <w:r>
        <w:rPr>
          <w:szCs w:val="21"/>
        </w:rPr>
        <w:t>.3.1</w:t>
      </w:r>
      <w:r>
        <w:rPr>
          <w:rFonts w:hint="eastAsia"/>
          <w:szCs w:val="21"/>
        </w:rPr>
        <w:t>不具备采购文件中规定的资格要求或资格条件的；</w:t>
      </w:r>
      <w:r>
        <w:rPr>
          <w:rFonts w:hint="eastAsia"/>
        </w:rPr>
        <w:t>（注：其中信用查询规则：由采购代理机构工作人员在资格审查开始前通过“信用中国”、“中国政府采购网”进行相关信用信息查询，并截图保存。）</w:t>
      </w:r>
    </w:p>
    <w:p>
      <w:pPr>
        <w:spacing w:before="120" w:line="276" w:lineRule="auto"/>
        <w:ind w:firstLineChars="200" w:firstLine="420"/>
        <w:rPr>
          <w:szCs w:val="21"/>
        </w:rPr>
      </w:pPr>
      <w:r>
        <w:rPr>
          <w:rFonts w:hint="eastAsia"/>
          <w:szCs w:val="21"/>
        </w:rPr>
        <w:t>5</w:t>
      </w:r>
      <w:r>
        <w:rPr>
          <w:szCs w:val="21"/>
        </w:rPr>
        <w:t>.3.2</w:t>
      </w:r>
      <w:r>
        <w:rPr>
          <w:rFonts w:hint="eastAsia"/>
          <w:szCs w:val="21"/>
        </w:rPr>
        <w:t>响应文件缺少任何一项资格证明文件或不符合第四章评审方法及标准中资格审查标准规定的评审内容的。</w:t>
      </w:r>
    </w:p>
    <w:p>
      <w:pPr>
        <w:spacing w:before="120" w:line="320" w:lineRule="atLeast"/>
        <w:ind w:leftChars="1" w:left="2" w:firstLineChars="200" w:firstLine="420"/>
        <w:outlineLvl w:val="1"/>
        <w:rPr>
          <w:b/>
          <w:bCs/>
          <w:kern w:val="0"/>
          <w:szCs w:val="21"/>
        </w:rPr>
      </w:pPr>
      <w:r>
        <w:rPr>
          <w:b/>
          <w:bCs/>
          <w:kern w:val="0"/>
          <w:szCs w:val="21"/>
        </w:rPr>
        <w:t>6．评审</w:t>
      </w:r>
    </w:p>
    <w:p>
      <w:pPr>
        <w:spacing w:before="120" w:line="320" w:lineRule="atLeast"/>
        <w:ind w:firstLineChars="200" w:firstLine="420"/>
        <w:outlineLvl w:val="2"/>
        <w:rPr>
          <w:b/>
          <w:bCs/>
          <w:kern w:val="0"/>
          <w:szCs w:val="21"/>
        </w:rPr>
      </w:pPr>
      <w:r>
        <w:rPr>
          <w:b/>
          <w:bCs/>
          <w:kern w:val="0"/>
          <w:szCs w:val="21"/>
        </w:rPr>
        <w:t>6.1组建磋商小组</w:t>
      </w:r>
    </w:p>
    <w:p>
      <w:pPr>
        <w:spacing w:before="120" w:line="320" w:lineRule="atLeast"/>
        <w:ind w:firstLineChars="200" w:firstLine="420"/>
        <w:rPr>
          <w:szCs w:val="21"/>
        </w:rPr>
      </w:pPr>
      <w:r>
        <w:rPr>
          <w:rFonts w:hint="eastAsia"/>
          <w:szCs w:val="21"/>
        </w:rPr>
        <w:t>6.1.1</w:t>
      </w:r>
      <w:r>
        <w:rPr>
          <w:szCs w:val="21"/>
        </w:rPr>
        <w:t>本项目</w:t>
      </w:r>
      <w:r>
        <w:rPr>
          <w:rFonts w:hint="eastAsia"/>
          <w:szCs w:val="21"/>
        </w:rPr>
        <w:t>评审工作由</w:t>
      </w:r>
      <w:r>
        <w:rPr>
          <w:szCs w:val="21"/>
        </w:rPr>
        <w:t>磋商小组</w:t>
      </w:r>
      <w:r>
        <w:rPr>
          <w:rFonts w:hint="eastAsia"/>
          <w:szCs w:val="21"/>
        </w:rPr>
        <w:t>负责，磋商小组</w:t>
      </w:r>
      <w:r>
        <w:rPr>
          <w:szCs w:val="21"/>
        </w:rPr>
        <w:t>由</w:t>
      </w:r>
      <w:r>
        <w:rPr>
          <w:rFonts w:hint="eastAsia"/>
          <w:szCs w:val="21"/>
        </w:rPr>
        <w:t>评审专家</w:t>
      </w:r>
      <w:r>
        <w:rPr>
          <w:szCs w:val="21"/>
        </w:rPr>
        <w:t>和采购人代表</w:t>
      </w:r>
      <w:r>
        <w:rPr>
          <w:rFonts w:hint="eastAsia"/>
          <w:szCs w:val="21"/>
        </w:rPr>
        <w:t>（如有）</w:t>
      </w:r>
      <w:r>
        <w:rPr>
          <w:szCs w:val="21"/>
        </w:rPr>
        <w:t>组成</w:t>
      </w:r>
      <w:r>
        <w:rPr>
          <w:rFonts w:hint="eastAsia"/>
          <w:szCs w:val="21"/>
        </w:rPr>
        <w:t>，人数为</w:t>
      </w:r>
      <w:r>
        <w:rPr>
          <w:rFonts w:hint="eastAsia"/>
          <w:szCs w:val="21"/>
          <w:lang w:val="en-US" w:eastAsia="zh-CN"/>
        </w:rPr>
        <w:t>3</w:t>
      </w:r>
      <w:r>
        <w:rPr>
          <w:rFonts w:hint="eastAsia"/>
          <w:szCs w:val="21"/>
        </w:rPr>
        <w:t>人（含）以上单数，其中评审专家的人数不少于</w:t>
      </w:r>
      <w:r>
        <w:rPr>
          <w:rFonts w:hint="eastAsia"/>
          <w:szCs w:val="21"/>
          <w:lang w:val="en-US" w:eastAsia="zh-CN"/>
        </w:rPr>
        <w:t>磋商</w:t>
      </w:r>
      <w:r>
        <w:rPr>
          <w:rFonts w:hint="eastAsia"/>
          <w:szCs w:val="21"/>
        </w:rPr>
        <w:t>小组成员总数的三分之二，评审专家抽取方式为专家库随机抽取</w:t>
      </w:r>
      <w:r>
        <w:rPr>
          <w:szCs w:val="21"/>
        </w:rPr>
        <w:t>。</w:t>
      </w:r>
      <w:r>
        <w:rPr>
          <w:rFonts w:hint="eastAsia"/>
          <w:szCs w:val="21"/>
        </w:rPr>
        <w:t>磋商小组评审时必须公平、公正、客观，不带任何倾向性和启发性；不得向外界透露任何与评审有关的内容；任何单位和个人不得干扰、影响评标的正常进行；磋商小组及有关工作人员不得私下与供应商接触，不得收受利害关系人的财物或者其他好处；</w:t>
      </w:r>
      <w:r>
        <w:rPr>
          <w:szCs w:val="21"/>
        </w:rPr>
        <w:t>评审专家发现本人与参加采购活动的供应商有利害关系的，应当主动提出回避</w:t>
      </w:r>
      <w:r>
        <w:rPr>
          <w:rFonts w:hint="eastAsia"/>
          <w:szCs w:val="21"/>
        </w:rPr>
        <w:t>。</w:t>
      </w:r>
    </w:p>
    <w:p>
      <w:pPr>
        <w:spacing w:before="120" w:line="320" w:lineRule="atLeast"/>
        <w:ind w:firstLineChars="200" w:firstLine="420"/>
        <w:rPr>
          <w:szCs w:val="21"/>
        </w:rPr>
      </w:pPr>
      <w:r>
        <w:rPr>
          <w:rFonts w:hint="eastAsia"/>
          <w:szCs w:val="21"/>
        </w:rPr>
        <w:t>6.1.2磋商小组成员应当行独立评审，磋商小组成员对需要共同认定的事项存在争议的，应当按照少数服从多数的原则作出结论。持不同意见的磋商小组成员应当在评审报告上签署不同意见及理由，否则视为同意评审报告。如果在评审过程中出现法律法规和采购文件均没有明确规定的情形时，由磋商小组现场协商确定，协商不一致的，由全体磋商小组成员投票表决，应当按照少数服从多数的原则作出结论并记录在评审报告中。</w:t>
      </w:r>
    </w:p>
    <w:p>
      <w:pPr>
        <w:spacing w:before="120" w:line="320" w:lineRule="atLeast"/>
        <w:ind w:firstLineChars="200" w:firstLine="420"/>
        <w:rPr>
          <w:szCs w:val="21"/>
        </w:rPr>
      </w:pPr>
      <w:r>
        <w:rPr>
          <w:rFonts w:hint="eastAsia"/>
          <w:szCs w:val="21"/>
        </w:rPr>
        <w:t>6.1.3采购人、采购代理机构应当采取必要措施，保证评审在严格保密（封闭式评审）的情况下进行。除采购人代表、评审现场组织人员外，采购人的其他工作人员以及与评审工作无关的人员不得进入评审现场。有关人员对评审情况以及在评审过程中获悉的国家秘密、商业秘密负有保密责任。</w:t>
      </w:r>
    </w:p>
    <w:p>
      <w:pPr>
        <w:spacing w:before="120" w:line="320" w:lineRule="atLeast"/>
        <w:ind w:firstLineChars="200" w:firstLine="420"/>
        <w:rPr>
          <w:szCs w:val="21"/>
        </w:rPr>
      </w:pPr>
      <w:r>
        <w:rPr>
          <w:rFonts w:hint="eastAsia"/>
          <w:szCs w:val="21"/>
        </w:rPr>
        <w:t>6.1.4本项目评审过程实行全程网上留痕及录音、录像监控，供应商在评审过程中所进行的试图影响评审结果的不公正活动，可能导致其响应按无效处理。</w:t>
      </w:r>
    </w:p>
    <w:p>
      <w:pPr>
        <w:spacing w:before="120" w:line="320" w:lineRule="atLeast"/>
        <w:ind w:firstLineChars="200" w:firstLine="420"/>
        <w:outlineLvl w:val="2"/>
        <w:rPr>
          <w:b/>
          <w:bCs/>
          <w:kern w:val="0"/>
          <w:szCs w:val="21"/>
        </w:rPr>
      </w:pPr>
      <w:r>
        <w:rPr>
          <w:b/>
          <w:bCs/>
          <w:kern w:val="0"/>
          <w:szCs w:val="21"/>
        </w:rPr>
        <w:t>6.2</w:t>
      </w:r>
      <w:r>
        <w:rPr>
          <w:rFonts w:hint="eastAsia"/>
          <w:b/>
          <w:bCs/>
          <w:kern w:val="0"/>
          <w:szCs w:val="21"/>
        </w:rPr>
        <w:t>评审方法及依据</w:t>
      </w:r>
    </w:p>
    <w:p>
      <w:pPr>
        <w:spacing w:before="120" w:line="320" w:lineRule="atLeast"/>
        <w:ind w:firstLineChars="200" w:firstLine="420"/>
        <w:rPr>
          <w:bCs/>
          <w:kern w:val="0"/>
          <w:szCs w:val="21"/>
        </w:rPr>
      </w:pPr>
      <w:r>
        <w:rPr>
          <w:bCs/>
          <w:kern w:val="0"/>
          <w:szCs w:val="21"/>
        </w:rPr>
        <w:t>6.2.1</w:t>
      </w:r>
      <w:r>
        <w:rPr>
          <w:rFonts w:hint="eastAsia"/>
          <w:bCs/>
          <w:kern w:val="0"/>
          <w:szCs w:val="21"/>
        </w:rPr>
        <w:t>本项目采用第四章评审方法及标准规定的方法进行评审。</w:t>
      </w:r>
    </w:p>
    <w:p>
      <w:pPr>
        <w:widowControl w:val="0"/>
        <w:suppressAutoHyphens/>
        <w:spacing w:before="120" w:line="320" w:lineRule="atLeast"/>
        <w:ind w:firstLineChars="200" w:firstLine="420"/>
        <w:rPr>
          <w:bCs/>
          <w:kern w:val="0"/>
          <w:szCs w:val="21"/>
        </w:rPr>
      </w:pPr>
      <w:r>
        <w:rPr>
          <w:bCs/>
          <w:kern w:val="0"/>
          <w:szCs w:val="21"/>
        </w:rPr>
        <w:t>6.2.2</w:t>
      </w:r>
      <w:r>
        <w:rPr>
          <w:rFonts w:hint="eastAsia"/>
          <w:bCs/>
          <w:kern w:val="0"/>
          <w:szCs w:val="21"/>
        </w:rPr>
        <w:t>磋商小组</w:t>
      </w:r>
      <w:r>
        <w:t>以</w:t>
      </w:r>
      <w:r>
        <w:rPr>
          <w:rFonts w:hint="eastAsia"/>
        </w:rPr>
        <w:t>采购</w:t>
      </w:r>
      <w:r>
        <w:t>文件、补充文件、</w:t>
      </w:r>
      <w:r>
        <w:rPr>
          <w:rFonts w:hint="eastAsia"/>
        </w:rPr>
        <w:t>响应</w:t>
      </w:r>
      <w:r>
        <w:t>文件、澄清及答复为评审依据</w:t>
      </w:r>
      <w:r>
        <w:rPr>
          <w:rFonts w:hint="eastAsia"/>
        </w:rPr>
        <w:t>，</w:t>
      </w:r>
      <w:r>
        <w:rPr>
          <w:rFonts w:hint="eastAsia"/>
          <w:bCs/>
          <w:kern w:val="0"/>
          <w:szCs w:val="21"/>
        </w:rPr>
        <w:t>第四章评审方法及标准没有规定的评审方法、标准及因素，不得作为评审依据。</w:t>
      </w:r>
    </w:p>
    <w:p>
      <w:pPr>
        <w:spacing w:before="120" w:line="320" w:lineRule="atLeast"/>
        <w:ind w:firstLineChars="200" w:firstLine="420"/>
        <w:outlineLvl w:val="2"/>
        <w:rPr>
          <w:b/>
          <w:bCs/>
          <w:kern w:val="0"/>
          <w:szCs w:val="21"/>
        </w:rPr>
      </w:pPr>
      <w:bookmarkStart w:id="73" w:name="_Toc254970546"/>
      <w:bookmarkStart w:id="74" w:name="_Toc254970687"/>
      <w:r>
        <w:rPr>
          <w:b/>
          <w:bCs/>
          <w:kern w:val="0"/>
          <w:szCs w:val="21"/>
        </w:rPr>
        <w:t>6.3评审</w:t>
      </w:r>
      <w:r>
        <w:rPr>
          <w:rFonts w:hint="eastAsia"/>
          <w:b/>
          <w:bCs/>
          <w:kern w:val="0"/>
          <w:szCs w:val="21"/>
        </w:rPr>
        <w:t>程序</w:t>
      </w:r>
    </w:p>
    <w:p>
      <w:pPr>
        <w:spacing w:before="120" w:line="320" w:lineRule="atLeast"/>
        <w:ind w:firstLineChars="200" w:firstLine="420"/>
      </w:pPr>
      <w:r>
        <w:t>6.</w:t>
      </w:r>
      <w:bookmarkStart w:id="75" w:name="_Hlk80956880"/>
      <w:bookmarkStart w:id="76" w:name="_Hlk19175507"/>
      <w:r>
        <w:t>3.1</w:t>
      </w:r>
      <w:r>
        <w:rPr>
          <w:rFonts w:hint="eastAsia"/>
        </w:rPr>
        <w:t>符合性审查</w:t>
      </w:r>
    </w:p>
    <w:p>
      <w:pPr>
        <w:spacing w:before="120" w:line="320" w:lineRule="atLeast"/>
        <w:ind w:firstLineChars="200" w:firstLine="420"/>
        <w:rPr>
          <w:szCs w:val="21"/>
        </w:rPr>
      </w:pPr>
      <w:r>
        <w:rPr>
          <w:bCs/>
          <w:kern w:val="2"/>
          <w:szCs w:val="21"/>
        </w:rPr>
        <w:t>资格审查结束后，</w:t>
      </w:r>
      <w:r>
        <w:rPr>
          <w:rFonts w:hint="eastAsia"/>
        </w:rPr>
        <w:t>磋商小组对</w:t>
      </w:r>
      <w:r>
        <w:t>通过资格审查的供应商</w:t>
      </w:r>
      <w:r>
        <w:rPr>
          <w:rFonts w:hint="eastAsia"/>
        </w:rPr>
        <w:t>的响应文件报价、商务资信、技术等方面实质性内容进行符合性审查，</w:t>
      </w:r>
      <w:r>
        <w:rPr>
          <w:rFonts w:hint="eastAsia"/>
          <w:szCs w:val="21"/>
        </w:rPr>
        <w:t>符合性审查标准</w:t>
      </w:r>
      <w:r>
        <w:rPr>
          <w:szCs w:val="21"/>
        </w:rPr>
        <w:t>详见第四章评审方法及标准。</w:t>
      </w:r>
    </w:p>
    <w:p>
      <w:pPr>
        <w:spacing w:before="120" w:line="320" w:lineRule="atLeast"/>
        <w:ind w:firstLineChars="200" w:firstLine="420"/>
        <w:rPr>
          <w:szCs w:val="21"/>
        </w:rPr>
      </w:pPr>
      <w:bookmarkEnd w:id="75"/>
      <w:bookmarkEnd w:id="76"/>
      <w:r>
        <w:rPr>
          <w:rFonts w:hint="eastAsia"/>
          <w:szCs w:val="21"/>
        </w:rPr>
        <w:t>6</w:t>
      </w:r>
      <w:r>
        <w:rPr>
          <w:szCs w:val="21"/>
        </w:rPr>
        <w:t>.3.2</w:t>
      </w:r>
      <w:r>
        <w:t>强制性</w:t>
      </w:r>
      <w:r>
        <w:rPr>
          <w:szCs w:val="21"/>
        </w:rPr>
        <w:t>采购要求</w:t>
      </w:r>
    </w:p>
    <w:p>
      <w:pPr>
        <w:widowControl w:val="0"/>
        <w:suppressAutoHyphens/>
        <w:spacing w:before="120" w:line="320" w:lineRule="atLeast"/>
        <w:ind w:firstLineChars="201" w:firstLine="422"/>
        <w:rPr>
          <w:szCs w:val="21"/>
        </w:rPr>
      </w:pPr>
      <w:bookmarkStart w:id="77" w:name="_Hlk47714684"/>
      <w:r>
        <w:rPr>
          <w:rFonts w:hint="eastAsia"/>
          <w:szCs w:val="21"/>
        </w:rPr>
        <w:t>（1）</w:t>
      </w:r>
      <w:bookmarkEnd w:id="77"/>
      <w:r>
        <w:rPr>
          <w:rFonts w:hint="eastAsia"/>
          <w:szCs w:val="21"/>
        </w:rPr>
        <w:t>根据《财政部 发展改革委 生态环境部 市场监管总局关于调整优化节能产品、环境标志产品政府采购执行机制的通知》（财库〔2019〕9号）和《关于印发节能产品政府采购品目清单的通知》（财库〔2019〕19号）规定，本项目采购需求中的产品属于节能产品政府采购品目清单内标注“★”的，供应商的响应货物必须使用政府强制采购的节能产品，否则响应文件作无效处理；属于品目清单内非标注“★”的产品时，应优先采购。</w:t>
      </w:r>
    </w:p>
    <w:p>
      <w:pPr>
        <w:spacing w:before="120" w:line="320" w:lineRule="atLeast"/>
        <w:ind w:firstLineChars="200" w:firstLine="420"/>
        <w:rPr>
          <w:szCs w:val="21"/>
        </w:rPr>
      </w:pPr>
      <w:bookmarkStart w:id="78" w:name="_Hlk19176155"/>
      <w:r>
        <w:rPr>
          <w:rFonts w:hint="eastAsia"/>
          <w:szCs w:val="21"/>
        </w:rPr>
        <w:t>（2）根据《关于调整网络安全专用产品安全管理有关事项的公告》（2023年1号）规定，本项目采购需求中的产品如果包括《网络关键设备和网络安全专用产品目录》的网络安全专用产品，供应商在响应文件中应主动列明供货范围中属于网络安全专用产品的响应产品，并提供由中共中央网络安全和信息化委员会办公室网站最新发布的《网络关键设备和网络安全专用产品安全认证和安全检测结果》截图证明材料，不在《网络关键设备和网络安全专用产品安全认证和安全检测结果》中或不在有效期内或未提供有效的《计算机信息系统安全专用产品销售许可证》的，投标无效。</w:t>
      </w:r>
    </w:p>
    <w:p>
      <w:pPr>
        <w:spacing w:before="120" w:line="320" w:lineRule="atLeast"/>
        <w:ind w:firstLineChars="200" w:firstLine="420"/>
        <w:rPr>
          <w:szCs w:val="21"/>
        </w:rPr>
      </w:pPr>
      <w:r>
        <w:rPr>
          <w:rFonts w:hint="eastAsia"/>
          <w:szCs w:val="21"/>
        </w:rPr>
        <w:t>注：网络安全专用产品在中共中央网络安全和信息化委员会办公室网站上发布的《网络关键设备和网络安全专用产品目录》中查询。 目前共15类：路由器、交换机、服务器（机架式）、可编程逻辑控制器（PLC设备）、数据备份一体机、防火墙（硬件）、WEB应用防火墙（WAF）、入侵检测系统（IDS）、入侵防御系统（IPS）、安全隔离与信息交换产品（网闸）、反垃圾邮件产品、网络综合审计系统、网络脆弱性扫描产品、安全数据库系统、网站恢复产品（硬件）。</w:t>
      </w:r>
    </w:p>
    <w:p>
      <w:pPr>
        <w:spacing w:before="120" w:line="320" w:lineRule="atLeast"/>
        <w:ind w:firstLineChars="200" w:firstLine="420"/>
      </w:pPr>
      <w:r>
        <w:t>6.3.3澄清、说明或补正</w:t>
      </w:r>
    </w:p>
    <w:p>
      <w:pPr>
        <w:spacing w:before="120" w:line="320" w:lineRule="atLeast"/>
        <w:ind w:firstLineChars="200" w:firstLine="420"/>
      </w:pPr>
      <w:r>
        <w:rPr>
          <w:rFonts w:hint="eastAsia"/>
        </w:rPr>
        <w:t>对响应文件中含义不明确、同类问题表述不一致或者有明显文字和计算错误的内容，磋商小组应在</w:t>
      </w:r>
      <w:r>
        <w:rPr>
          <w:rFonts w:hint="eastAsia"/>
          <w:szCs w:val="21"/>
          <w:lang w:val="en-US" w:eastAsia="zh-CN"/>
        </w:rPr>
        <w:t>评审现场</w:t>
      </w:r>
      <w:r>
        <w:rPr>
          <w:rFonts w:hint="eastAsia"/>
        </w:rPr>
        <w:t>发布澄清函，要求供应商在</w:t>
      </w:r>
      <w:r>
        <w:rPr>
          <w:rFonts w:hint="eastAsia"/>
          <w:lang w:val="en-US" w:eastAsia="zh-CN"/>
        </w:rPr>
        <w:t>规定</w:t>
      </w:r>
      <w:r>
        <w:rPr>
          <w:rFonts w:hint="eastAsia"/>
        </w:rPr>
        <w:t>时间内作出必要的澄清、说明或者补正。供应商在接收到澄清函后根据澄清函内容</w:t>
      </w:r>
      <w:r>
        <w:rPr>
          <w:rFonts w:hint="eastAsia"/>
          <w:lang w:val="en-US" w:eastAsia="zh-CN"/>
        </w:rPr>
        <w:t>以书面形式</w:t>
      </w:r>
      <w:r>
        <w:rPr>
          <w:rFonts w:hint="eastAsia"/>
        </w:rPr>
        <w:t>提交至磋商小组。供应商的澄清、说明或者补正不得超出响应文件的范围或者改变响应文件的实质性内容。供应商未在规定时间内进行澄清、说明或者补正的，按无效响应处理。</w:t>
      </w:r>
    </w:p>
    <w:p>
      <w:pPr>
        <w:spacing w:before="120" w:line="320" w:lineRule="atLeast"/>
        <w:ind w:firstLineChars="200" w:firstLine="420"/>
      </w:pPr>
      <w:r>
        <w:t>6.3.4</w:t>
      </w:r>
      <w:r>
        <w:rPr>
          <w:rFonts w:hint="eastAsia"/>
        </w:rPr>
        <w:t>报价</w:t>
      </w:r>
      <w:r>
        <w:t>修正</w:t>
      </w:r>
    </w:p>
    <w:p>
      <w:pPr>
        <w:spacing w:before="120" w:line="320" w:lineRule="atLeast"/>
        <w:ind w:firstLineChars="200" w:firstLine="420"/>
      </w:pPr>
      <w:r>
        <w:rPr>
          <w:rFonts w:hint="eastAsia"/>
        </w:rPr>
        <w:t>（1）报价出现前后不一致的，按照下列规定修正：</w:t>
      </w:r>
    </w:p>
    <w:p>
      <w:pPr>
        <w:spacing w:before="120" w:line="320" w:lineRule="atLeast"/>
        <w:ind w:firstLineChars="200" w:firstLine="420"/>
        <w:rPr>
          <w:szCs w:val="21"/>
        </w:rPr>
      </w:pPr>
      <w:r>
        <w:rPr>
          <w:rFonts w:ascii="宋体" w:hint="eastAsia"/>
          <w:szCs w:val="21"/>
        </w:rPr>
        <w:t>①</w:t>
      </w:r>
      <w:r>
        <w:rPr>
          <w:szCs w:val="21"/>
        </w:rPr>
        <w:t>响应文件中开标一览表（报价表）内容与响应文件中相应内容不一致的，以开标一览表（报价表）为准；</w:t>
      </w:r>
    </w:p>
    <w:p>
      <w:pPr>
        <w:spacing w:before="120" w:line="320" w:lineRule="atLeast"/>
        <w:ind w:firstLineChars="200" w:firstLine="420"/>
        <w:rPr>
          <w:szCs w:val="21"/>
        </w:rPr>
      </w:pPr>
      <w:r>
        <w:rPr>
          <w:rFonts w:ascii="宋体"/>
          <w:szCs w:val="21"/>
        </w:rPr>
        <w:t>②</w:t>
      </w:r>
      <w:r>
        <w:rPr>
          <w:szCs w:val="21"/>
        </w:rPr>
        <w:t>大写金额和小写金额不一致的，以大写金额为准；</w:t>
      </w:r>
    </w:p>
    <w:p>
      <w:pPr>
        <w:spacing w:before="120" w:line="320" w:lineRule="atLeast"/>
        <w:ind w:firstLineChars="200" w:firstLine="420"/>
        <w:rPr>
          <w:szCs w:val="21"/>
        </w:rPr>
      </w:pPr>
      <w:r>
        <w:rPr>
          <w:rFonts w:hint="eastAsia"/>
          <w:szCs w:val="21"/>
        </w:rPr>
        <w:t>③</w:t>
      </w:r>
      <w:r>
        <w:rPr>
          <w:szCs w:val="21"/>
        </w:rPr>
        <w:t>单价金额小数点或者百分比有明显错位的，以开标一览表的总价为准，并修改单价；</w:t>
      </w:r>
    </w:p>
    <w:p>
      <w:pPr>
        <w:spacing w:before="120" w:line="320" w:lineRule="atLeast"/>
        <w:ind w:firstLineChars="200" w:firstLine="420"/>
        <w:rPr>
          <w:szCs w:val="21"/>
        </w:rPr>
      </w:pPr>
      <w:r>
        <w:rPr>
          <w:rFonts w:hint="eastAsia"/>
          <w:szCs w:val="21"/>
        </w:rPr>
        <w:t>④</w:t>
      </w:r>
      <w:r>
        <w:rPr>
          <w:szCs w:val="21"/>
        </w:rPr>
        <w:t>总价金额与按单价汇总金额不一致的，以单价金额计算结果为准</w:t>
      </w:r>
      <w:r>
        <w:rPr>
          <w:rFonts w:hint="eastAsia"/>
          <w:szCs w:val="21"/>
        </w:rPr>
        <w:t>。</w:t>
      </w:r>
    </w:p>
    <w:p>
      <w:pPr>
        <w:spacing w:before="120" w:line="320" w:lineRule="atLeast"/>
        <w:ind w:firstLineChars="200" w:firstLine="420"/>
        <w:rPr>
          <w:szCs w:val="21"/>
        </w:rPr>
      </w:pPr>
      <w:r>
        <w:rPr>
          <w:rFonts w:hint="eastAsia"/>
          <w:szCs w:val="21"/>
        </w:rPr>
        <w:t>同时出现两种以上不一致的，按照上述</w:t>
      </w:r>
      <w:r>
        <w:rPr>
          <w:rFonts w:ascii="宋体" w:hint="eastAsia"/>
          <w:szCs w:val="21"/>
        </w:rPr>
        <w:t>①-</w:t>
      </w:r>
      <w:r>
        <w:rPr>
          <w:rFonts w:hint="eastAsia"/>
          <w:szCs w:val="21"/>
        </w:rPr>
        <w:t>④顺序修正。修正后的报价按照上述“</w:t>
      </w:r>
      <w:r>
        <w:rPr>
          <w:szCs w:val="21"/>
        </w:rPr>
        <w:t>6.3.3</w:t>
      </w:r>
      <w:r>
        <w:rPr>
          <w:rFonts w:hint="eastAsia"/>
          <w:szCs w:val="21"/>
        </w:rPr>
        <w:t>澄清、说明或补正”的规定经供应商确认后产生约束力，供应商不确认的，其响应无效。</w:t>
      </w:r>
    </w:p>
    <w:p>
      <w:pPr>
        <w:spacing w:before="120" w:line="320" w:lineRule="atLeast"/>
        <w:ind w:firstLineChars="200" w:firstLine="420"/>
        <w:rPr>
          <w:szCs w:val="21"/>
        </w:rPr>
      </w:pPr>
      <w:r>
        <w:rPr>
          <w:rFonts w:hint="eastAsia"/>
          <w:szCs w:val="21"/>
        </w:rPr>
        <w:t>（</w:t>
      </w:r>
      <w:r>
        <w:rPr>
          <w:szCs w:val="21"/>
        </w:rPr>
        <w:t>2</w:t>
      </w:r>
      <w:r>
        <w:rPr>
          <w:rFonts w:hint="eastAsia"/>
          <w:szCs w:val="21"/>
        </w:rPr>
        <w:t>）经供应商确认修正后的报价若超过采购预算金额或者最高限价，其响应文件作无效响应处理。</w:t>
      </w:r>
    </w:p>
    <w:p>
      <w:pPr>
        <w:spacing w:before="120" w:line="320" w:lineRule="atLeast"/>
        <w:ind w:firstLineChars="200" w:firstLine="420"/>
        <w:rPr>
          <w:szCs w:val="21"/>
        </w:rPr>
      </w:pPr>
      <w:r>
        <w:rPr>
          <w:rFonts w:hint="eastAsia"/>
          <w:szCs w:val="21"/>
        </w:rPr>
        <w:t>（</w:t>
      </w:r>
      <w:r>
        <w:rPr>
          <w:szCs w:val="21"/>
        </w:rPr>
        <w:t>3</w:t>
      </w:r>
      <w:r>
        <w:rPr>
          <w:rFonts w:hint="eastAsia"/>
          <w:szCs w:val="21"/>
        </w:rPr>
        <w:t>）经供应商确认修正后的报价作为签订合同的依据，并以此报价计算价格分。</w:t>
      </w:r>
    </w:p>
    <w:p>
      <w:pPr>
        <w:spacing w:before="120" w:line="320" w:lineRule="atLeast"/>
        <w:ind w:firstLineChars="200" w:firstLine="420"/>
        <w:rPr>
          <w:szCs w:val="21"/>
        </w:rPr>
      </w:pPr>
      <w:r>
        <w:rPr>
          <w:rFonts w:hint="eastAsia"/>
          <w:szCs w:val="21"/>
        </w:rPr>
        <w:t>（</w:t>
      </w:r>
      <w:r>
        <w:rPr>
          <w:szCs w:val="21"/>
        </w:rPr>
        <w:t>4</w:t>
      </w:r>
      <w:r>
        <w:rPr>
          <w:rFonts w:hint="eastAsia"/>
          <w:szCs w:val="21"/>
        </w:rPr>
        <w:t>）如磋商过程中有多轮报价的，磋商小组在每一轮报价均应按上述规则修正报价。</w:t>
      </w:r>
    </w:p>
    <w:p>
      <w:pPr>
        <w:spacing w:before="120" w:line="320" w:lineRule="atLeast"/>
        <w:ind w:firstLineChars="200" w:firstLine="420"/>
      </w:pPr>
      <w:bookmarkEnd w:id="73"/>
      <w:bookmarkEnd w:id="74"/>
      <w:bookmarkEnd w:id="78"/>
      <w:r>
        <w:t>6.3.6</w:t>
      </w:r>
      <w:r>
        <w:rPr>
          <w:rFonts w:hint="eastAsia"/>
        </w:rPr>
        <w:t>磋商</w:t>
      </w:r>
    </w:p>
    <w:p>
      <w:pPr>
        <w:spacing w:before="120" w:line="320" w:lineRule="atLeast"/>
        <w:ind w:firstLineChars="200" w:firstLine="420"/>
      </w:pPr>
      <w:r>
        <w:rPr>
          <w:rFonts w:hint="eastAsia"/>
        </w:rPr>
        <w:t>（1）磋商小组按照“供应商须知前附表” 确定的顺序，集中与单一供应商分别进行磋商，并给予所有参加磋商的供应商平等的磋商机会。符合磋商资格的供应商必须在接到磋商通知后规定时间内参加磋商，未在规定时间内参加磋商的视同放弃参加磋商权利，其响应文件按无效响应处理。</w:t>
      </w:r>
    </w:p>
    <w:p>
      <w:pPr>
        <w:spacing w:before="120" w:line="320" w:lineRule="atLeast"/>
        <w:ind w:firstLineChars="200" w:firstLine="420"/>
      </w:pPr>
      <w:r>
        <w:rPr>
          <w:rFonts w:hint="eastAsia"/>
        </w:rPr>
        <w:t>（2）在磋商过程中，磋商小组可以根据采购文件和磋商情况实质性变动采购需求中的技术、服务要求以及合同草案条款，但不得变动采购文件中的其他内容。实质性变动的内容，须经采购人代表确认。</w:t>
      </w:r>
    </w:p>
    <w:p>
      <w:pPr>
        <w:spacing w:before="120" w:line="320" w:lineRule="atLeast"/>
        <w:ind w:firstLineChars="200" w:firstLine="420"/>
      </w:pPr>
      <w:r>
        <w:rPr>
          <w:rFonts w:hint="eastAsia"/>
        </w:rPr>
        <w:t>对采购文件作出的实质性变动是采购文件的有效组成部分，由磋商小组以书面形式同时通知所有参加磋商的供应商。</w:t>
      </w:r>
    </w:p>
    <w:p>
      <w:pPr>
        <w:spacing w:before="120" w:line="320" w:lineRule="atLeast"/>
        <w:ind w:firstLineChars="200" w:firstLine="420"/>
      </w:pPr>
      <w:r>
        <w:rPr>
          <w:rFonts w:hint="eastAsia"/>
        </w:rPr>
        <w:t>（3）供应商必须按照采购文件的变动情况和磋商小组的要求重新提交响应文件，提交至磋商小组。参加磋商的供应商未在规定时间内重新提交响应文件的，视同退出磋商。</w:t>
      </w:r>
    </w:p>
    <w:p>
      <w:pPr>
        <w:spacing w:before="120" w:line="320" w:lineRule="atLeast"/>
        <w:ind w:firstLineChars="200" w:firstLine="420"/>
      </w:pPr>
      <w:r>
        <w:rPr>
          <w:rFonts w:hint="eastAsia"/>
        </w:rPr>
        <w:t>6</w:t>
      </w:r>
      <w:r>
        <w:t>.3.7</w:t>
      </w:r>
      <w:r>
        <w:rPr>
          <w:rFonts w:hint="eastAsia"/>
        </w:rPr>
        <w:t>最后报价</w:t>
      </w:r>
    </w:p>
    <w:p>
      <w:pPr>
        <w:spacing w:before="120" w:line="320" w:lineRule="atLeast"/>
        <w:ind w:firstLineChars="200" w:firstLine="420"/>
      </w:pPr>
      <w:r>
        <w:rPr>
          <w:rFonts w:hint="eastAsia"/>
        </w:rPr>
        <w:t xml:space="preserve">（1）采购文件能够详细列明采购标的的技术、服务要求的，磋商结束后，磋商小组应当要求所有实质性响应的供应商在规定时间内提交最后报价，提交最后报价的供应商不得少于3家。 </w:t>
      </w:r>
    </w:p>
    <w:p>
      <w:pPr>
        <w:spacing w:before="120" w:line="320" w:lineRule="atLeast"/>
        <w:ind w:firstLineChars="200" w:firstLine="420"/>
      </w:pPr>
      <w:r>
        <w:rPr>
          <w:rFonts w:hint="eastAsia"/>
        </w:rPr>
        <w:t>采购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pPr>
        <w:spacing w:before="120" w:line="320" w:lineRule="atLeast"/>
        <w:ind w:firstLineChars="200" w:firstLine="420"/>
      </w:pPr>
      <w:r>
        <w:rPr>
          <w:rFonts w:hint="eastAsia"/>
        </w:rPr>
        <w:t>最后报价是供应商响应文件的有效组成部分。</w:t>
      </w:r>
    </w:p>
    <w:p>
      <w:pPr>
        <w:spacing w:before="120" w:line="320" w:lineRule="atLeast"/>
        <w:ind w:firstLineChars="200" w:firstLine="420"/>
      </w:pPr>
      <w:r>
        <w:rPr>
          <w:rFonts w:hint="eastAsia"/>
        </w:rPr>
        <w:t>（2）如符合“市场竞争不充分的科研项目、需要扶持的科技成果转化项目、政府购买服务项目（含政府和社会资本合作项目）的，提交最后报价的供应商可以为2家。</w:t>
      </w:r>
    </w:p>
    <w:p>
      <w:pPr>
        <w:spacing w:before="120" w:line="320" w:lineRule="atLeast"/>
        <w:ind w:firstLineChars="200" w:firstLine="420"/>
      </w:pPr>
      <w:r>
        <w:rPr>
          <w:rFonts w:hint="eastAsia"/>
        </w:rPr>
        <w:t>（3）最后报价要求通过</w:t>
      </w:r>
      <w:r>
        <w:rPr>
          <w:rFonts w:hint="eastAsia"/>
          <w:szCs w:val="21"/>
          <w:lang w:val="en-US" w:eastAsia="zh-CN"/>
        </w:rPr>
        <w:t>书面形式</w:t>
      </w:r>
      <w:r>
        <w:rPr>
          <w:rFonts w:hint="eastAsia"/>
        </w:rPr>
        <w:t>发出，供应商需在</w:t>
      </w:r>
      <w:r>
        <w:rPr>
          <w:rFonts w:hint="eastAsia"/>
          <w:szCs w:val="21"/>
          <w:lang w:val="en-US" w:eastAsia="zh-CN"/>
        </w:rPr>
        <w:t>规定</w:t>
      </w:r>
      <w:r>
        <w:rPr>
          <w:rFonts w:hint="eastAsia"/>
        </w:rPr>
        <w:t>的时间内报价，最后报价不得超过采购预算金额且具有唯一性，否则否决其响应。</w:t>
      </w:r>
    </w:p>
    <w:p>
      <w:pPr>
        <w:spacing w:before="120" w:line="320" w:lineRule="atLeast"/>
        <w:ind w:firstLineChars="200" w:firstLine="420"/>
        <w:rPr>
          <w:rFonts w:ascii="宋体" w:hint="eastAsia"/>
          <w:b/>
          <w:bCs/>
          <w:szCs w:val="21"/>
        </w:rPr>
      </w:pPr>
      <w:r>
        <w:rPr>
          <w:rFonts w:ascii="宋体" w:hint="eastAsia"/>
          <w:b/>
          <w:bCs/>
          <w:szCs w:val="21"/>
        </w:rPr>
        <w:t>①最后报价与首次报价相比无调整的：供应商提交的最后报价只须注明与首次报价相同。</w:t>
      </w:r>
    </w:p>
    <w:p>
      <w:pPr>
        <w:spacing w:before="120" w:line="320" w:lineRule="atLeast"/>
        <w:ind w:firstLineChars="200" w:firstLine="420"/>
        <w:rPr>
          <w:szCs w:val="21"/>
        </w:rPr>
      </w:pPr>
      <w:r>
        <w:rPr>
          <w:rFonts w:ascii="宋体" w:hint="eastAsia"/>
          <w:b/>
          <w:bCs/>
          <w:szCs w:val="21"/>
        </w:rPr>
        <w:t>②最后报价与首次报价相比有调整的：供应商提交的最后报价必须包含已标价的工程量清单，即最后报价是工程量清单全部工作内容的价格体现，具体包括供应商部分（分部分项工程量清单费用、措施项目清单费用、规费、税金、其它项目）和采购人部分（暂列金、材料购置费）（如有）等完成本工程并经验收合格至达到质量保修期限所需的费用、合理利润及风险。如磋商文件或磋商过程中明确供应商应提供技术服务及其它服务的（如检测费、验收发生的费用），相应费用也应包括在最后报价中。最后报价不允许采用汇总后优惠、打折的形式，否则其报价无效并作无效响应处理。</w:t>
      </w:r>
    </w:p>
    <w:p>
      <w:pPr>
        <w:spacing w:before="120" w:line="320" w:lineRule="atLeast"/>
        <w:ind w:firstLineChars="200" w:firstLine="420"/>
      </w:pPr>
      <w:r>
        <w:rPr>
          <w:rFonts w:hint="eastAsia"/>
        </w:rPr>
        <w:t>（4）已提交响应文件的供应商，在提交最后报价之前，可以根据磋商情况退出磋商，退出磋商的供应商的响应文件无效。退出磋商的说明须经签字盖章后以书面或电子邮件方式发送至采购代理机构，并及时通知项目负责人。磋商小组在评审报告中注明退出磋商的供应商名单。采购人、采购代理机构应当退还退出磋商的供应商的磋商保证金。</w:t>
      </w:r>
    </w:p>
    <w:p>
      <w:pPr>
        <w:spacing w:before="120" w:line="320" w:lineRule="atLeast"/>
        <w:ind w:firstLineChars="200" w:firstLine="420"/>
        <w:rPr>
          <w:rFonts w:ascii="宋体" w:cs="宋体" w:hint="eastAsia"/>
          <w:szCs w:val="21"/>
        </w:rPr>
      </w:pPr>
      <w:r>
        <w:rPr>
          <w:rFonts w:ascii="宋体" w:cs="宋体" w:hint="eastAsia"/>
          <w:szCs w:val="21"/>
        </w:rPr>
        <w:t>（5）供应商未在规定时间内提交最后报价的，视同退出磋商。</w:t>
      </w:r>
    </w:p>
    <w:p>
      <w:pPr>
        <w:spacing w:before="120" w:line="320" w:lineRule="atLeast"/>
        <w:ind w:firstLineChars="200" w:firstLine="420"/>
      </w:pPr>
      <w:r>
        <w:rPr>
          <w:rFonts w:ascii="宋体" w:cs="宋体" w:hint="eastAsia"/>
          <w:szCs w:val="21"/>
        </w:rPr>
        <w:t>（6）最后报价结束后，磋商小组不得再与供应商进行任何形式的商谈。</w:t>
      </w:r>
    </w:p>
    <w:p>
      <w:pPr>
        <w:spacing w:before="120" w:line="320" w:lineRule="atLeast"/>
        <w:ind w:firstLineChars="200" w:firstLine="420"/>
        <w:rPr>
          <w:szCs w:val="21"/>
        </w:rPr>
      </w:pPr>
      <w:r>
        <w:rPr>
          <w:szCs w:val="21"/>
        </w:rPr>
        <w:t>6.3.8串通投标认定</w:t>
      </w:r>
    </w:p>
    <w:p>
      <w:pPr>
        <w:spacing w:before="120" w:line="320" w:lineRule="atLeast"/>
        <w:ind w:firstLineChars="200" w:firstLine="420"/>
      </w:pPr>
      <w:r>
        <w:rPr>
          <w:szCs w:val="21"/>
        </w:rPr>
        <w:t>磋商小组须根据</w:t>
      </w:r>
      <w:r>
        <w:rPr>
          <w:rFonts w:hint="eastAsia"/>
          <w:szCs w:val="21"/>
        </w:rPr>
        <w:t>以下</w:t>
      </w:r>
      <w:r>
        <w:rPr>
          <w:szCs w:val="21"/>
        </w:rPr>
        <w:t>规定</w:t>
      </w:r>
      <w:r>
        <w:rPr>
          <w:rFonts w:hint="eastAsia"/>
          <w:szCs w:val="21"/>
        </w:rPr>
        <w:t>认定</w:t>
      </w:r>
      <w:r>
        <w:rPr>
          <w:szCs w:val="21"/>
        </w:rPr>
        <w:t>供应商是否有</w:t>
      </w:r>
      <w:r>
        <w:rPr>
          <w:bCs/>
          <w:kern w:val="0"/>
          <w:szCs w:val="21"/>
        </w:rPr>
        <w:t>串通投标的行为</w:t>
      </w:r>
      <w:r>
        <w:t>。</w:t>
      </w:r>
    </w:p>
    <w:p>
      <w:pPr>
        <w:spacing w:before="120" w:line="320" w:lineRule="atLeast"/>
        <w:ind w:firstLineChars="200" w:firstLine="420"/>
        <w:rPr>
          <w:szCs w:val="21"/>
        </w:rPr>
      </w:pPr>
      <w:bookmarkStart w:id="79" w:name="_Hlk19122026"/>
      <w:r>
        <w:rPr>
          <w:rFonts w:hint="eastAsia"/>
          <w:szCs w:val="21"/>
        </w:rPr>
        <w:t>（1）</w:t>
      </w:r>
      <w:bookmarkEnd w:id="79"/>
      <w:r>
        <w:rPr>
          <w:szCs w:val="21"/>
        </w:rPr>
        <w:t>根据《关于防治政府采购招标中串通投标行为的通知》</w:t>
      </w:r>
      <w:r>
        <w:rPr>
          <w:rFonts w:hint="eastAsia"/>
          <w:szCs w:val="21"/>
        </w:rPr>
        <w:t>（</w:t>
      </w:r>
      <w:r>
        <w:rPr>
          <w:szCs w:val="21"/>
        </w:rPr>
        <w:t>桂财采[2016]42号</w:t>
      </w:r>
      <w:r>
        <w:rPr>
          <w:rFonts w:hint="eastAsia"/>
          <w:szCs w:val="21"/>
        </w:rPr>
        <w:t>）</w:t>
      </w:r>
      <w:r>
        <w:rPr>
          <w:szCs w:val="21"/>
        </w:rPr>
        <w:t>规定，出现下述情况的，相关供应商的投标作无效投标处理。</w:t>
      </w:r>
    </w:p>
    <w:p>
      <w:pPr>
        <w:spacing w:before="120" w:line="320" w:lineRule="atLeast"/>
        <w:ind w:firstLineChars="200" w:firstLine="420"/>
        <w:rPr>
          <w:szCs w:val="21"/>
        </w:rPr>
      </w:pPr>
      <w:bookmarkStart w:id="80" w:name="_Hlk19122039"/>
      <w:r>
        <w:rPr>
          <w:rFonts w:ascii="宋体" w:cs="宋体" w:hint="eastAsia"/>
          <w:szCs w:val="21"/>
        </w:rPr>
        <w:t>①</w:t>
      </w:r>
      <w:r>
        <w:rPr>
          <w:szCs w:val="21"/>
        </w:rPr>
        <w:t>单位负责人为同一人或者存在直接控股、管理关系，参加同一合同项下政府采购活动的不同供应商。</w:t>
      </w:r>
    </w:p>
    <w:p>
      <w:pPr>
        <w:spacing w:before="120" w:line="320" w:lineRule="atLeast"/>
        <w:ind w:firstLineChars="200" w:firstLine="420"/>
        <w:rPr>
          <w:szCs w:val="21"/>
        </w:rPr>
      </w:pPr>
      <w:r>
        <w:rPr>
          <w:rFonts w:hint="eastAsia"/>
          <w:szCs w:val="21"/>
        </w:rPr>
        <w:t>②</w:t>
      </w:r>
      <w:r>
        <w:rPr>
          <w:szCs w:val="21"/>
        </w:rPr>
        <w:t>授权给供应商后参加同一合同项（分标、分包）投标的生产厂商。</w:t>
      </w:r>
    </w:p>
    <w:p>
      <w:pPr>
        <w:spacing w:before="120" w:line="320" w:lineRule="atLeast"/>
        <w:ind w:firstLineChars="200" w:firstLine="420"/>
        <w:rPr>
          <w:szCs w:val="21"/>
        </w:rPr>
      </w:pPr>
      <w:r>
        <w:rPr>
          <w:rFonts w:hint="eastAsia"/>
          <w:szCs w:val="21"/>
        </w:rPr>
        <w:t>③</w:t>
      </w:r>
      <w:r>
        <w:rPr>
          <w:szCs w:val="21"/>
        </w:rPr>
        <w:t>视为或被认定为串通投标的相关供应商。</w:t>
      </w:r>
    </w:p>
    <w:p>
      <w:pPr>
        <w:spacing w:before="120" w:line="320" w:lineRule="atLeast"/>
        <w:ind w:firstLineChars="200" w:firstLine="420"/>
        <w:rPr>
          <w:szCs w:val="21"/>
        </w:rPr>
      </w:pPr>
      <w:bookmarkStart w:id="81" w:name="_Hlk19122058"/>
      <w:bookmarkEnd w:id="80"/>
      <w:r>
        <w:rPr>
          <w:rFonts w:hint="eastAsia"/>
          <w:szCs w:val="21"/>
        </w:rPr>
        <w:t>（2）</w:t>
      </w:r>
      <w:bookmarkEnd w:id="81"/>
      <w:r>
        <w:rPr>
          <w:szCs w:val="21"/>
        </w:rPr>
        <w:t>根据《关于防治政府采购招标中串通投标行为的通知》</w:t>
      </w:r>
      <w:r>
        <w:rPr>
          <w:rFonts w:hint="eastAsia"/>
          <w:szCs w:val="21"/>
        </w:rPr>
        <w:t>（</w:t>
      </w:r>
      <w:r>
        <w:rPr>
          <w:szCs w:val="21"/>
        </w:rPr>
        <w:t>桂财采[2016]42号</w:t>
      </w:r>
      <w:r>
        <w:rPr>
          <w:rFonts w:hint="eastAsia"/>
          <w:szCs w:val="21"/>
        </w:rPr>
        <w:t>）</w:t>
      </w:r>
      <w:r>
        <w:rPr>
          <w:szCs w:val="21"/>
        </w:rPr>
        <w:t>规定，有下列情形之一的视为供应商相互串通投标，响应文件将被视为无效。</w:t>
      </w:r>
    </w:p>
    <w:p>
      <w:pPr>
        <w:spacing w:before="120" w:line="320" w:lineRule="atLeast"/>
        <w:ind w:firstLineChars="200" w:firstLine="420"/>
        <w:rPr>
          <w:szCs w:val="21"/>
        </w:rPr>
      </w:pPr>
      <w:bookmarkStart w:id="82" w:name="_Hlk19122048"/>
      <w:r>
        <w:rPr>
          <w:rFonts w:ascii="宋体" w:cs="宋体" w:hint="eastAsia"/>
          <w:szCs w:val="21"/>
        </w:rPr>
        <w:t>①</w:t>
      </w:r>
      <w:r>
        <w:rPr>
          <w:szCs w:val="21"/>
        </w:rPr>
        <w:t>不同供应商的响应文件由同一单位或者个人编制；或不同供应商报名的IP地址一致的；</w:t>
      </w:r>
    </w:p>
    <w:p>
      <w:pPr>
        <w:spacing w:before="120" w:line="320" w:lineRule="atLeast"/>
        <w:ind w:firstLineChars="200" w:firstLine="420"/>
        <w:rPr>
          <w:szCs w:val="21"/>
        </w:rPr>
      </w:pPr>
      <w:r>
        <w:rPr>
          <w:rFonts w:hint="eastAsia"/>
          <w:szCs w:val="21"/>
        </w:rPr>
        <w:t>②</w:t>
      </w:r>
      <w:r>
        <w:rPr>
          <w:szCs w:val="21"/>
        </w:rPr>
        <w:t>不同供应商委托同一单位或者个人办理投标事宜；</w:t>
      </w:r>
    </w:p>
    <w:p>
      <w:pPr>
        <w:spacing w:before="120" w:line="320" w:lineRule="atLeast"/>
        <w:ind w:firstLineChars="200" w:firstLine="420"/>
        <w:rPr>
          <w:szCs w:val="21"/>
        </w:rPr>
      </w:pPr>
      <w:r>
        <w:rPr>
          <w:rFonts w:hint="eastAsia"/>
          <w:szCs w:val="21"/>
        </w:rPr>
        <w:t>③</w:t>
      </w:r>
      <w:r>
        <w:rPr>
          <w:szCs w:val="21"/>
        </w:rPr>
        <w:t>不同的供应商的响应文件载明的项目管理员为同一个人；</w:t>
      </w:r>
    </w:p>
    <w:p>
      <w:pPr>
        <w:spacing w:before="120" w:line="320" w:lineRule="atLeast"/>
        <w:ind w:firstLineChars="200" w:firstLine="420"/>
        <w:rPr>
          <w:szCs w:val="21"/>
        </w:rPr>
      </w:pPr>
      <w:r>
        <w:rPr>
          <w:rFonts w:hint="eastAsia"/>
          <w:szCs w:val="21"/>
        </w:rPr>
        <w:t>④</w:t>
      </w:r>
      <w:r>
        <w:rPr>
          <w:szCs w:val="21"/>
        </w:rPr>
        <w:t>不同供应商的响应文件异常一致或投标报价呈规律性差异；</w:t>
      </w:r>
    </w:p>
    <w:p>
      <w:pPr>
        <w:spacing w:before="120" w:line="320" w:lineRule="atLeast"/>
        <w:ind w:firstLineChars="200" w:firstLine="420"/>
        <w:rPr>
          <w:szCs w:val="21"/>
        </w:rPr>
      </w:pPr>
      <w:r>
        <w:rPr>
          <w:rFonts w:hint="eastAsia"/>
          <w:szCs w:val="21"/>
        </w:rPr>
        <w:t>⑤</w:t>
      </w:r>
      <w:r>
        <w:rPr>
          <w:szCs w:val="21"/>
        </w:rPr>
        <w:t>不同供应商的响应文件相互混装；</w:t>
      </w:r>
    </w:p>
    <w:p>
      <w:pPr>
        <w:spacing w:before="120" w:line="320" w:lineRule="atLeast"/>
        <w:ind w:firstLineChars="200" w:firstLine="420"/>
        <w:rPr>
          <w:szCs w:val="21"/>
        </w:rPr>
      </w:pPr>
      <w:r>
        <w:rPr>
          <w:rFonts w:hint="eastAsia"/>
          <w:szCs w:val="21"/>
        </w:rPr>
        <w:t>⑥</w:t>
      </w:r>
      <w:r>
        <w:rPr>
          <w:szCs w:val="21"/>
        </w:rPr>
        <w:t>不同供应商的保证金从同一单位或者个人账户转出。</w:t>
      </w:r>
    </w:p>
    <w:p>
      <w:pPr>
        <w:spacing w:before="120" w:line="320" w:lineRule="atLeast"/>
        <w:ind w:firstLineChars="200" w:firstLine="420"/>
        <w:rPr>
          <w:szCs w:val="21"/>
        </w:rPr>
      </w:pPr>
      <w:bookmarkStart w:id="83" w:name="_Hlk19122102"/>
      <w:bookmarkEnd w:id="82"/>
      <w:r>
        <w:rPr>
          <w:rFonts w:hint="eastAsia"/>
          <w:szCs w:val="21"/>
        </w:rPr>
        <w:t>（3）</w:t>
      </w:r>
      <w:bookmarkEnd w:id="83"/>
      <w:r>
        <w:rPr>
          <w:szCs w:val="21"/>
        </w:rPr>
        <w:t>根据《关于防治政府采购招标中串通投标行为的通知》</w:t>
      </w:r>
      <w:r>
        <w:rPr>
          <w:rFonts w:hint="eastAsia"/>
          <w:szCs w:val="21"/>
        </w:rPr>
        <w:t>（</w:t>
      </w:r>
      <w:r>
        <w:rPr>
          <w:szCs w:val="21"/>
        </w:rPr>
        <w:t>桂财采[2016]42号</w:t>
      </w:r>
      <w:r>
        <w:rPr>
          <w:rFonts w:hint="eastAsia"/>
          <w:szCs w:val="21"/>
        </w:rPr>
        <w:t>）</w:t>
      </w:r>
      <w:r>
        <w:rPr>
          <w:szCs w:val="21"/>
        </w:rPr>
        <w:t>规定，供应商有下列情形之一的，属于恶意串通行为，响应文件将被视为无效。</w:t>
      </w:r>
    </w:p>
    <w:p>
      <w:pPr>
        <w:spacing w:before="120" w:line="320" w:lineRule="atLeast"/>
        <w:ind w:firstLineChars="200" w:firstLine="420"/>
        <w:rPr>
          <w:szCs w:val="21"/>
        </w:rPr>
      </w:pPr>
      <w:bookmarkStart w:id="84" w:name="_Hlk19122095"/>
      <w:r>
        <w:rPr>
          <w:rFonts w:hint="eastAsia"/>
          <w:szCs w:val="21"/>
        </w:rPr>
        <w:t>①</w:t>
      </w:r>
      <w:r>
        <w:rPr>
          <w:szCs w:val="21"/>
        </w:rPr>
        <w:t>供应商直接或者间接从采购人或者采购代理机构处获得其他供应商的相关信息并修改其响应文件或者响应文件；</w:t>
      </w:r>
    </w:p>
    <w:p>
      <w:pPr>
        <w:spacing w:before="120" w:line="320" w:lineRule="atLeast"/>
        <w:ind w:firstLineChars="200" w:firstLine="420"/>
        <w:rPr>
          <w:szCs w:val="21"/>
        </w:rPr>
      </w:pPr>
      <w:r>
        <w:rPr>
          <w:rFonts w:hint="eastAsia"/>
          <w:szCs w:val="21"/>
        </w:rPr>
        <w:t>②</w:t>
      </w:r>
      <w:r>
        <w:rPr>
          <w:szCs w:val="21"/>
        </w:rPr>
        <w:t>供应商按照采购人或者采购代理机构的授意撤换、修改响应文件或者响应文件;；</w:t>
      </w:r>
    </w:p>
    <w:p>
      <w:pPr>
        <w:spacing w:before="120" w:line="320" w:lineRule="atLeast"/>
        <w:ind w:firstLineChars="200" w:firstLine="420"/>
        <w:rPr>
          <w:szCs w:val="21"/>
        </w:rPr>
      </w:pPr>
      <w:r>
        <w:rPr>
          <w:rFonts w:hint="eastAsia"/>
          <w:szCs w:val="21"/>
        </w:rPr>
        <w:t>③</w:t>
      </w:r>
      <w:r>
        <w:rPr>
          <w:szCs w:val="21"/>
        </w:rPr>
        <w:t>供应商之间协商报价、技术方案等响应文件或者响应文件的实质性内容；</w:t>
      </w:r>
    </w:p>
    <w:p>
      <w:pPr>
        <w:spacing w:before="120" w:line="320" w:lineRule="atLeast"/>
        <w:ind w:firstLineChars="200" w:firstLine="420"/>
        <w:rPr>
          <w:szCs w:val="21"/>
        </w:rPr>
      </w:pPr>
      <w:r>
        <w:rPr>
          <w:rFonts w:hint="eastAsia"/>
          <w:szCs w:val="21"/>
        </w:rPr>
        <w:t>④</w:t>
      </w:r>
      <w:r>
        <w:rPr>
          <w:szCs w:val="21"/>
        </w:rPr>
        <w:t>属于同一集团、协会、商会等组织成员的供应商按照该组织要求协同参加政府采购活动；</w:t>
      </w:r>
    </w:p>
    <w:p>
      <w:pPr>
        <w:spacing w:before="120" w:line="320" w:lineRule="atLeast"/>
        <w:ind w:firstLineChars="200" w:firstLine="420"/>
        <w:rPr>
          <w:szCs w:val="21"/>
        </w:rPr>
      </w:pPr>
      <w:r>
        <w:rPr>
          <w:rFonts w:hint="eastAsia"/>
          <w:szCs w:val="21"/>
        </w:rPr>
        <w:t>⑤</w:t>
      </w:r>
      <w:r>
        <w:rPr>
          <w:szCs w:val="21"/>
        </w:rPr>
        <w:t>供应商之间事先约定一致抬高或者压低投标报价，或者在招标项目中事先约定轮流以高价位或者低价位中标，或者事先约定由某一特定供应商中标，然后再参加投标；</w:t>
      </w:r>
    </w:p>
    <w:p>
      <w:pPr>
        <w:spacing w:before="120" w:line="320" w:lineRule="atLeast"/>
        <w:ind w:firstLineChars="200" w:firstLine="420"/>
        <w:rPr>
          <w:szCs w:val="21"/>
        </w:rPr>
      </w:pPr>
      <w:r>
        <w:rPr>
          <w:rFonts w:hint="eastAsia"/>
          <w:szCs w:val="21"/>
        </w:rPr>
        <w:t>⑥</w:t>
      </w:r>
      <w:r>
        <w:rPr>
          <w:szCs w:val="21"/>
        </w:rPr>
        <w:t>供应商之间商定部分供应商放弃参加政府采购活动或者放弃中标；</w:t>
      </w:r>
    </w:p>
    <w:p>
      <w:pPr>
        <w:spacing w:before="120" w:line="320" w:lineRule="atLeast"/>
        <w:ind w:firstLineChars="200" w:firstLine="420"/>
        <w:rPr>
          <w:szCs w:val="21"/>
        </w:rPr>
      </w:pPr>
      <w:r>
        <w:rPr>
          <w:rFonts w:hint="eastAsia"/>
          <w:szCs w:val="21"/>
        </w:rPr>
        <w:t>⑦</w:t>
      </w:r>
      <w:r>
        <w:rPr>
          <w:szCs w:val="21"/>
        </w:rPr>
        <w:t>供应商与采购人或者采购代理机构之间、供应商相互之间，为谋求特定供应商中标或者排斥其他供应商的其他串通行为。</w:t>
      </w:r>
    </w:p>
    <w:p>
      <w:pPr>
        <w:spacing w:before="120" w:line="320" w:lineRule="atLeast"/>
        <w:ind w:firstLineChars="200" w:firstLine="420"/>
        <w:rPr>
          <w:szCs w:val="21"/>
        </w:rPr>
      </w:pPr>
      <w:bookmarkEnd w:id="84"/>
      <w:r>
        <w:rPr>
          <w:szCs w:val="21"/>
        </w:rPr>
        <w:t>6.3.9响应</w:t>
      </w:r>
      <w:r>
        <w:rPr>
          <w:rFonts w:hint="eastAsia"/>
          <w:szCs w:val="21"/>
        </w:rPr>
        <w:t>无效</w:t>
      </w:r>
      <w:r>
        <w:rPr>
          <w:szCs w:val="21"/>
        </w:rPr>
        <w:t>认定</w:t>
      </w:r>
    </w:p>
    <w:p>
      <w:pPr>
        <w:spacing w:before="120" w:line="320" w:lineRule="atLeast"/>
        <w:ind w:firstLineChars="200" w:firstLine="420"/>
        <w:rPr>
          <w:szCs w:val="21"/>
        </w:rPr>
      </w:pPr>
      <w:r>
        <w:rPr>
          <w:rFonts w:hint="eastAsia"/>
          <w:szCs w:val="21"/>
        </w:rPr>
        <w:t>（</w:t>
      </w:r>
      <w:r>
        <w:rPr>
          <w:szCs w:val="21"/>
        </w:rPr>
        <w:t>1）在</w:t>
      </w:r>
      <w:r>
        <w:rPr>
          <w:rFonts w:hint="eastAsia"/>
          <w:szCs w:val="21"/>
        </w:rPr>
        <w:t>评审过程中</w:t>
      </w:r>
      <w:r>
        <w:rPr>
          <w:szCs w:val="21"/>
        </w:rPr>
        <w:t>如发现下列情形之一的，响应文件将被视为无效：</w:t>
      </w:r>
    </w:p>
    <w:p>
      <w:pPr>
        <w:spacing w:before="120" w:line="320" w:lineRule="atLeast"/>
        <w:ind w:firstLineChars="200" w:firstLine="420"/>
      </w:pPr>
      <w:r>
        <w:rPr>
          <w:rFonts w:hint="eastAsia"/>
          <w:szCs w:val="21"/>
        </w:rPr>
        <w:t>①</w:t>
      </w:r>
      <w:r>
        <w:rPr>
          <w:szCs w:val="21"/>
        </w:rPr>
        <w:t>响应文件</w:t>
      </w:r>
      <w:r>
        <w:rPr>
          <w:rFonts w:hint="eastAsia"/>
          <w:szCs w:val="21"/>
        </w:rPr>
        <w:t>存在法律、法规及监督部门有关文件规定的无效情形</w:t>
      </w:r>
      <w:r>
        <w:rPr>
          <w:szCs w:val="21"/>
        </w:rPr>
        <w:t>。</w:t>
      </w:r>
    </w:p>
    <w:p>
      <w:pPr>
        <w:spacing w:before="120" w:line="320" w:lineRule="atLeast"/>
        <w:ind w:firstLineChars="200" w:firstLine="420"/>
        <w:rPr>
          <w:szCs w:val="21"/>
        </w:rPr>
      </w:pPr>
      <w:r>
        <w:rPr>
          <w:rFonts w:hint="eastAsia"/>
          <w:szCs w:val="21"/>
        </w:rPr>
        <w:t>②</w:t>
      </w:r>
      <w:r>
        <w:rPr>
          <w:szCs w:val="21"/>
        </w:rPr>
        <w:t>响应文件</w:t>
      </w:r>
      <w:r>
        <w:rPr>
          <w:rFonts w:hint="eastAsia"/>
          <w:szCs w:val="21"/>
        </w:rPr>
        <w:t>存在采购文件规定的无效情形。</w:t>
      </w:r>
    </w:p>
    <w:p>
      <w:pPr>
        <w:spacing w:before="120" w:line="320" w:lineRule="atLeast"/>
        <w:ind w:firstLineChars="200" w:firstLine="420"/>
        <w:rPr>
          <w:szCs w:val="21"/>
        </w:rPr>
      </w:pPr>
      <w:bookmarkStart w:id="85" w:name="_Hlk19113313"/>
      <w:r>
        <w:rPr>
          <w:rFonts w:hint="eastAsia"/>
          <w:szCs w:val="21"/>
        </w:rPr>
        <w:t>（2）根据</w:t>
      </w:r>
      <w:r>
        <w:rPr>
          <w:szCs w:val="21"/>
        </w:rPr>
        <w:t>财库</w:t>
      </w:r>
      <w:r>
        <w:rPr>
          <w:rFonts w:hint="eastAsia"/>
          <w:szCs w:val="21"/>
        </w:rPr>
        <w:t>《</w:t>
      </w:r>
      <w:r>
        <w:rPr>
          <w:szCs w:val="21"/>
        </w:rPr>
        <w:t>关于促进政府采购公平竞争优化营商环境的通知</w:t>
      </w:r>
      <w:r>
        <w:rPr>
          <w:rFonts w:hint="eastAsia"/>
          <w:szCs w:val="21"/>
        </w:rPr>
        <w:t>》（</w:t>
      </w:r>
      <w:r>
        <w:rPr>
          <w:szCs w:val="21"/>
        </w:rPr>
        <w:t>〔2019〕38号</w:t>
      </w:r>
      <w:r>
        <w:rPr>
          <w:rFonts w:hint="eastAsia"/>
          <w:szCs w:val="21"/>
        </w:rPr>
        <w:t>）以及《广西壮族自治区财政厅转发财政部关于促进政府采购公平竞争优化营商环境的通知》（桂财采〔2019〕41号）规定，磋商小组不得因装订、纸张、文件排序等非实质性的格式、形式问题认定投标无效或否决投标，从而限制和影响供应商投标（响应）。</w:t>
      </w:r>
    </w:p>
    <w:p>
      <w:pPr>
        <w:spacing w:before="120" w:line="320" w:lineRule="atLeast"/>
        <w:ind w:firstLineChars="200" w:firstLine="420"/>
        <w:rPr>
          <w:szCs w:val="21"/>
        </w:rPr>
      </w:pPr>
      <w:bookmarkStart w:id="86" w:name="_Hlk19113363"/>
      <w:bookmarkEnd w:id="85"/>
      <w:r>
        <w:rPr>
          <w:szCs w:val="21"/>
        </w:rPr>
        <w:t>6.3.10比较与评价</w:t>
      </w:r>
    </w:p>
    <w:p>
      <w:pPr>
        <w:spacing w:before="120" w:line="320" w:lineRule="atLeast"/>
        <w:ind w:firstLineChars="200" w:firstLine="420"/>
        <w:rPr>
          <w:szCs w:val="21"/>
        </w:rPr>
      </w:pPr>
      <w:r>
        <w:rPr>
          <w:rFonts w:hint="eastAsia"/>
          <w:szCs w:val="21"/>
        </w:rPr>
        <w:t>（1）磋商小组</w:t>
      </w:r>
      <w:r>
        <w:rPr>
          <w:szCs w:val="21"/>
        </w:rPr>
        <w:t>按采购文件中规定的评审方法和标准，</w:t>
      </w:r>
      <w:r>
        <w:rPr>
          <w:rFonts w:hint="eastAsia"/>
          <w:szCs w:val="21"/>
        </w:rPr>
        <w:t>对提交最后报价的供应商的响应文件和最后报价进行综合评分。</w:t>
      </w:r>
    </w:p>
    <w:p>
      <w:pPr>
        <w:spacing w:before="120" w:line="320" w:lineRule="atLeast"/>
        <w:ind w:firstLineChars="200" w:firstLine="420"/>
        <w:rPr>
          <w:szCs w:val="21"/>
        </w:rPr>
      </w:pPr>
      <w:r>
        <w:rPr>
          <w:rFonts w:hint="eastAsia"/>
          <w:szCs w:val="21"/>
        </w:rPr>
        <w:t>（2）</w:t>
      </w:r>
      <w:r>
        <w:rPr>
          <w:szCs w:val="21"/>
        </w:rPr>
        <w:t>磋商小组各成员独立对每个有效供应商的响应文件进行评价</w:t>
      </w:r>
      <w:r>
        <w:rPr>
          <w:rFonts w:hint="eastAsia"/>
          <w:szCs w:val="21"/>
        </w:rPr>
        <w:t>、打分。评价打分</w:t>
      </w:r>
      <w:r>
        <w:rPr>
          <w:szCs w:val="21"/>
        </w:rPr>
        <w:t>有误的应及时进行修正。</w:t>
      </w:r>
      <w:r>
        <w:rPr>
          <w:rFonts w:hint="eastAsia"/>
          <w:szCs w:val="21"/>
        </w:rPr>
        <w:t>评分</w:t>
      </w:r>
      <w:r>
        <w:rPr>
          <w:szCs w:val="21"/>
        </w:rPr>
        <w:t>标准如有客观分定义，磋商小组所有成员的客观分</w:t>
      </w:r>
      <w:r>
        <w:rPr>
          <w:rFonts w:hint="eastAsia"/>
          <w:szCs w:val="21"/>
        </w:rPr>
        <w:t>评分分值</w:t>
      </w:r>
      <w:r>
        <w:rPr>
          <w:szCs w:val="21"/>
        </w:rPr>
        <w:t>应当一致。</w:t>
      </w:r>
    </w:p>
    <w:p>
      <w:pPr>
        <w:spacing w:before="120" w:line="320" w:lineRule="atLeast"/>
        <w:ind w:firstLineChars="200" w:firstLine="420"/>
        <w:rPr>
          <w:szCs w:val="21"/>
        </w:rPr>
      </w:pPr>
      <w:r>
        <w:rPr>
          <w:rFonts w:hint="eastAsia"/>
          <w:szCs w:val="21"/>
        </w:rPr>
        <w:t>（3）磋商小组</w:t>
      </w:r>
      <w:r>
        <w:rPr>
          <w:szCs w:val="21"/>
        </w:rPr>
        <w:t>按</w:t>
      </w:r>
      <w:r>
        <w:rPr>
          <w:rFonts w:hint="eastAsia"/>
          <w:szCs w:val="21"/>
        </w:rPr>
        <w:t>综合评</w:t>
      </w:r>
      <w:r>
        <w:rPr>
          <w:szCs w:val="21"/>
        </w:rPr>
        <w:t>分由高到低的排列顺序</w:t>
      </w:r>
      <w:r>
        <w:rPr>
          <w:rFonts w:hint="eastAsia"/>
          <w:szCs w:val="21"/>
        </w:rPr>
        <w:t>推荐</w:t>
      </w:r>
      <w:r>
        <w:rPr>
          <w:szCs w:val="21"/>
        </w:rPr>
        <w:t>3</w:t>
      </w:r>
      <w:r>
        <w:rPr>
          <w:rFonts w:hint="eastAsia"/>
          <w:szCs w:val="21"/>
        </w:rPr>
        <w:t>名以上成交候选供应商，</w:t>
      </w:r>
      <w:r>
        <w:rPr>
          <w:szCs w:val="21"/>
        </w:rPr>
        <w:t>综合</w:t>
      </w:r>
      <w:r>
        <w:rPr>
          <w:rFonts w:hint="eastAsia"/>
          <w:szCs w:val="21"/>
        </w:rPr>
        <w:t>评</w:t>
      </w:r>
      <w:r>
        <w:rPr>
          <w:szCs w:val="21"/>
        </w:rPr>
        <w:t>分排名第一的为第一</w:t>
      </w:r>
      <w:r>
        <w:rPr>
          <w:rFonts w:hint="eastAsia"/>
          <w:szCs w:val="21"/>
        </w:rPr>
        <w:t>成交</w:t>
      </w:r>
      <w:r>
        <w:rPr>
          <w:szCs w:val="21"/>
        </w:rPr>
        <w:t>候选</w:t>
      </w:r>
      <w:r>
        <w:rPr>
          <w:rFonts w:hint="eastAsia"/>
          <w:szCs w:val="21"/>
        </w:rPr>
        <w:t>供应商</w:t>
      </w:r>
      <w:r>
        <w:rPr>
          <w:szCs w:val="21"/>
        </w:rPr>
        <w:t>。若</w:t>
      </w:r>
      <w:r>
        <w:rPr>
          <w:rFonts w:hint="eastAsia"/>
          <w:szCs w:val="21"/>
        </w:rPr>
        <w:t>成交</w:t>
      </w:r>
      <w:r>
        <w:rPr>
          <w:szCs w:val="21"/>
        </w:rPr>
        <w:t>候选人综合</w:t>
      </w:r>
      <w:r>
        <w:rPr>
          <w:rFonts w:hint="eastAsia"/>
          <w:szCs w:val="21"/>
        </w:rPr>
        <w:t>评</w:t>
      </w:r>
      <w:r>
        <w:rPr>
          <w:szCs w:val="21"/>
        </w:rPr>
        <w:t>分相同的，按</w:t>
      </w:r>
      <w:r>
        <w:rPr>
          <w:rFonts w:hint="eastAsia"/>
          <w:szCs w:val="21"/>
        </w:rPr>
        <w:t>最后</w:t>
      </w:r>
      <w:r>
        <w:rPr>
          <w:szCs w:val="21"/>
        </w:rPr>
        <w:t>报价由低到高顺序排列；综合</w:t>
      </w:r>
      <w:r>
        <w:rPr>
          <w:rFonts w:hint="eastAsia"/>
          <w:szCs w:val="21"/>
        </w:rPr>
        <w:t>评</w:t>
      </w:r>
      <w:r>
        <w:rPr>
          <w:szCs w:val="21"/>
        </w:rPr>
        <w:t>分且</w:t>
      </w:r>
      <w:r>
        <w:rPr>
          <w:rFonts w:hint="eastAsia"/>
          <w:szCs w:val="21"/>
        </w:rPr>
        <w:t>最后</w:t>
      </w:r>
      <w:r>
        <w:rPr>
          <w:szCs w:val="21"/>
        </w:rPr>
        <w:t>报价相同的</w:t>
      </w:r>
      <w:r>
        <w:t>并列</w:t>
      </w:r>
      <w:r>
        <w:rPr>
          <w:szCs w:val="21"/>
        </w:rPr>
        <w:t>；</w:t>
      </w:r>
      <w:r>
        <w:rPr>
          <w:rFonts w:hint="eastAsia"/>
          <w:szCs w:val="21"/>
        </w:rPr>
        <w:t>成交</w:t>
      </w:r>
      <w:r>
        <w:rPr>
          <w:szCs w:val="21"/>
        </w:rPr>
        <w:t>候选人并列的，按技术部分</w:t>
      </w:r>
      <w:r>
        <w:rPr>
          <w:rFonts w:hint="eastAsia"/>
          <w:szCs w:val="21"/>
        </w:rPr>
        <w:t>评</w:t>
      </w:r>
      <w:r>
        <w:rPr>
          <w:szCs w:val="21"/>
        </w:rPr>
        <w:t>分由高到低顺序排列，若综合评分、</w:t>
      </w:r>
      <w:r>
        <w:rPr>
          <w:rFonts w:hint="eastAsia"/>
          <w:szCs w:val="21"/>
        </w:rPr>
        <w:t>最后</w:t>
      </w:r>
      <w:r>
        <w:rPr>
          <w:szCs w:val="21"/>
        </w:rPr>
        <w:t>报价、技术部分</w:t>
      </w:r>
      <w:r>
        <w:rPr>
          <w:rFonts w:hint="eastAsia"/>
          <w:szCs w:val="21"/>
        </w:rPr>
        <w:t>评分</w:t>
      </w:r>
      <w:r>
        <w:rPr>
          <w:szCs w:val="21"/>
        </w:rPr>
        <w:t>均相同的，按商务</w:t>
      </w:r>
      <w:r>
        <w:rPr>
          <w:rFonts w:hint="eastAsia"/>
          <w:szCs w:val="21"/>
        </w:rPr>
        <w:t>资信</w:t>
      </w:r>
      <w:r>
        <w:rPr>
          <w:szCs w:val="21"/>
        </w:rPr>
        <w:t>部分</w:t>
      </w:r>
      <w:r>
        <w:rPr>
          <w:rFonts w:hint="eastAsia"/>
          <w:szCs w:val="21"/>
        </w:rPr>
        <w:t>评</w:t>
      </w:r>
      <w:r>
        <w:rPr>
          <w:szCs w:val="21"/>
        </w:rPr>
        <w:t>分由高到低顺序排列。</w:t>
      </w:r>
      <w:r>
        <w:rPr>
          <w:rFonts w:hint="eastAsia"/>
          <w:szCs w:val="21"/>
        </w:rPr>
        <w:t>若综合评分、最后报价、技术部分评分、商务资信部分评分均相同的，由采购人自行决定。</w:t>
      </w:r>
    </w:p>
    <w:p>
      <w:pPr>
        <w:spacing w:before="120" w:line="320" w:lineRule="atLeast"/>
        <w:ind w:firstLineChars="200" w:firstLine="420"/>
      </w:pPr>
      <w:r>
        <w:rPr>
          <w:rFonts w:hint="eastAsia"/>
          <w:szCs w:val="21"/>
        </w:rPr>
        <w:t>（</w:t>
      </w:r>
      <w:r>
        <w:rPr>
          <w:szCs w:val="21"/>
        </w:rPr>
        <w:t>4</w:t>
      </w:r>
      <w:r>
        <w:rPr>
          <w:rFonts w:hint="eastAsia"/>
          <w:szCs w:val="21"/>
        </w:rPr>
        <w:t>）磋商小组根据评审记录及评审结果编写评审报告，磋商小组成员均应当在评审报告上签字，对自己的评审意见承担法律责任。</w:t>
      </w:r>
      <w:r>
        <w:t>评审报告签署前，经复核发现存在以</w:t>
      </w:r>
      <w:r>
        <w:rPr>
          <w:rFonts w:hint="eastAsia"/>
        </w:rPr>
        <w:t>下</w:t>
      </w:r>
      <w:r>
        <w:t>情形之一的，磋商小组应当当场修改评审结果，并在评审报告中记载；评审报告签署后，采购人或者采购代理机构发现存在以</w:t>
      </w:r>
      <w:r>
        <w:rPr>
          <w:rFonts w:hint="eastAsia"/>
        </w:rPr>
        <w:t>下</w:t>
      </w:r>
      <w:r>
        <w:t>情形之一的，应当组织原磋商小组进行重新评审。</w:t>
      </w:r>
    </w:p>
    <w:p>
      <w:pPr>
        <w:spacing w:before="120" w:line="320" w:lineRule="atLeast"/>
        <w:ind w:firstLineChars="200" w:firstLine="420"/>
      </w:pPr>
      <w:r>
        <w:rPr>
          <w:rFonts w:hint="eastAsia"/>
        </w:rPr>
        <w:t>资格性检查认定错误、分值汇总计算错误、分项评分超出评分标准范围、客观分评分不一致、经磋商小组一致认定评分畸高、畸低。</w:t>
      </w:r>
    </w:p>
    <w:p>
      <w:pPr>
        <w:spacing w:before="120" w:line="320" w:lineRule="atLeast"/>
        <w:ind w:firstLineChars="200" w:firstLine="420"/>
        <w:outlineLvl w:val="2"/>
        <w:rPr>
          <w:b/>
          <w:bCs/>
          <w:kern w:val="0"/>
          <w:szCs w:val="21"/>
        </w:rPr>
      </w:pPr>
      <w:bookmarkEnd w:id="86"/>
      <w:r>
        <w:rPr>
          <w:b/>
          <w:bCs/>
          <w:kern w:val="0"/>
          <w:szCs w:val="21"/>
        </w:rPr>
        <w:t>6.4确定成交供应商</w:t>
      </w:r>
    </w:p>
    <w:p>
      <w:pPr>
        <w:spacing w:before="120" w:line="276" w:lineRule="auto"/>
        <w:ind w:firstLineChars="200" w:firstLine="420"/>
        <w:rPr>
          <w:szCs w:val="21"/>
        </w:rPr>
      </w:pPr>
      <w:r>
        <w:rPr>
          <w:rFonts w:hint="eastAsia"/>
          <w:szCs w:val="21"/>
        </w:rPr>
        <w:t>6.4</w:t>
      </w:r>
      <w:r>
        <w:rPr>
          <w:szCs w:val="21"/>
        </w:rPr>
        <w:t>.1采购代理机构在评审结束后2个工作日内将评审报告送采购人，采购人在5个工作日内按照评审报告中推荐的成交候选供应商顺序确定成交供应商。</w:t>
      </w:r>
    </w:p>
    <w:p>
      <w:pPr>
        <w:spacing w:before="120" w:line="276" w:lineRule="auto"/>
        <w:ind w:firstLineChars="200" w:firstLine="420"/>
        <w:rPr>
          <w:szCs w:val="21"/>
        </w:rPr>
      </w:pPr>
      <w:r>
        <w:rPr>
          <w:szCs w:val="21"/>
        </w:rPr>
        <w:t>6.4.2</w:t>
      </w:r>
      <w:r>
        <w:rPr>
          <w:rFonts w:hint="eastAsia"/>
          <w:szCs w:val="21"/>
        </w:rPr>
        <w:t>采购人、采购代理机构认为供应商对采购过程、成交结果提出的质疑成立且影响或者可能影响成交结果的，合格供应商符合法定数量时，可以从合格的成交候选供应商中另行确定成交供应商的，应当依法另行确定成交供应商；否则应当重新开展采购活动。</w:t>
      </w:r>
    </w:p>
    <w:p>
      <w:pPr>
        <w:spacing w:before="120" w:line="320" w:lineRule="atLeast"/>
        <w:ind w:firstLineChars="200" w:firstLine="420"/>
        <w:outlineLvl w:val="2"/>
        <w:rPr>
          <w:b/>
          <w:bCs/>
          <w:kern w:val="0"/>
          <w:szCs w:val="21"/>
        </w:rPr>
      </w:pPr>
      <w:r>
        <w:rPr>
          <w:b/>
          <w:bCs/>
          <w:kern w:val="0"/>
          <w:szCs w:val="21"/>
        </w:rPr>
        <w:t>6.5</w:t>
      </w:r>
      <w:r>
        <w:rPr>
          <w:rFonts w:hint="eastAsia"/>
          <w:b/>
          <w:bCs/>
          <w:kern w:val="0"/>
          <w:szCs w:val="21"/>
        </w:rPr>
        <w:t>结果公告</w:t>
      </w:r>
    </w:p>
    <w:p>
      <w:pPr>
        <w:spacing w:before="120" w:line="320" w:lineRule="atLeast"/>
        <w:ind w:firstLineChars="200" w:firstLine="420"/>
        <w:rPr>
          <w:szCs w:val="21"/>
        </w:rPr>
      </w:pPr>
      <w:r>
        <w:rPr>
          <w:rFonts w:hint="eastAsia"/>
          <w:szCs w:val="21"/>
        </w:rPr>
        <w:t>6</w:t>
      </w:r>
      <w:r>
        <w:rPr>
          <w:szCs w:val="21"/>
        </w:rPr>
        <w:t>.5.1自成交供应商确定后2个工作日内，采购代理机构</w:t>
      </w:r>
      <w:r>
        <w:rPr>
          <w:rFonts w:hint="eastAsia"/>
          <w:szCs w:val="21"/>
        </w:rPr>
        <w:t>按照供应商须知</w:t>
      </w:r>
      <w:r>
        <w:rPr>
          <w:rFonts w:hint="eastAsia"/>
          <w:kern w:val="0"/>
          <w:szCs w:val="21"/>
        </w:rPr>
        <w:t>前附表的规定</w:t>
      </w:r>
      <w:r>
        <w:rPr>
          <w:kern w:val="0"/>
          <w:szCs w:val="21"/>
        </w:rPr>
        <w:t>公告</w:t>
      </w:r>
      <w:r>
        <w:rPr>
          <w:szCs w:val="21"/>
        </w:rPr>
        <w:t>成交结果。</w:t>
      </w:r>
    </w:p>
    <w:p>
      <w:pPr>
        <w:spacing w:before="120" w:line="320" w:lineRule="atLeast"/>
        <w:ind w:firstLineChars="200" w:firstLine="420"/>
        <w:rPr>
          <w:szCs w:val="21"/>
        </w:rPr>
      </w:pPr>
      <w:r>
        <w:rPr>
          <w:rFonts w:hint="eastAsia"/>
          <w:szCs w:val="21"/>
        </w:rPr>
        <w:t>6</w:t>
      </w:r>
      <w:r>
        <w:rPr>
          <w:szCs w:val="21"/>
        </w:rPr>
        <w:t>.5.2在发布</w:t>
      </w:r>
      <w:r>
        <w:rPr>
          <w:rFonts w:hint="eastAsia"/>
          <w:szCs w:val="21"/>
        </w:rPr>
        <w:t>结果</w:t>
      </w:r>
      <w:r>
        <w:rPr>
          <w:szCs w:val="21"/>
        </w:rPr>
        <w:t>公告的同时，采购代理机构以供应商须知前附表规定的形式向成交供应商发出成交通知书。成交通知书发出后，采购人改变成交结果，或者成交供应商放弃成交，应当承担相应的法律责任。</w:t>
      </w:r>
    </w:p>
    <w:p>
      <w:pPr>
        <w:widowControl w:val="0"/>
        <w:suppressAutoHyphens/>
        <w:spacing w:before="120" w:line="320" w:lineRule="atLeast"/>
        <w:ind w:firstLineChars="200" w:firstLine="420"/>
        <w:outlineLvl w:val="2"/>
        <w:rPr>
          <w:b/>
          <w:bCs/>
          <w:kern w:val="0"/>
          <w:szCs w:val="21"/>
        </w:rPr>
      </w:pPr>
      <w:r>
        <w:rPr>
          <w:b/>
          <w:bCs/>
          <w:kern w:val="0"/>
          <w:szCs w:val="21"/>
        </w:rPr>
        <w:t>6.6</w:t>
      </w:r>
      <w:r>
        <w:rPr>
          <w:rFonts w:hint="eastAsia"/>
          <w:b/>
          <w:bCs/>
          <w:kern w:val="0"/>
          <w:szCs w:val="21"/>
        </w:rPr>
        <w:t>废标</w:t>
      </w:r>
    </w:p>
    <w:p>
      <w:pPr>
        <w:spacing w:before="120" w:line="320" w:lineRule="atLeast"/>
        <w:ind w:firstLineChars="200" w:firstLine="420"/>
        <w:rPr>
          <w:kern w:val="2"/>
          <w:szCs w:val="21"/>
        </w:rPr>
      </w:pPr>
      <w:r>
        <w:rPr>
          <w:kern w:val="2"/>
          <w:szCs w:val="21"/>
        </w:rPr>
        <w:t>6.6.1</w:t>
      </w:r>
      <w:r>
        <w:rPr>
          <w:rFonts w:hint="eastAsia"/>
          <w:kern w:val="2"/>
          <w:szCs w:val="21"/>
        </w:rPr>
        <w:t xml:space="preserve">出现下列情形之一，将导致项目废标： </w:t>
      </w:r>
    </w:p>
    <w:p>
      <w:pPr>
        <w:spacing w:before="120" w:line="320" w:lineRule="atLeast"/>
        <w:ind w:firstLineChars="200" w:firstLine="420"/>
        <w:rPr>
          <w:szCs w:val="21"/>
        </w:rPr>
      </w:pPr>
      <w:r>
        <w:rPr>
          <w:rFonts w:hint="eastAsia"/>
          <w:kern w:val="2"/>
          <w:szCs w:val="21"/>
        </w:rPr>
        <w:t>（1</w:t>
      </w:r>
      <w:r>
        <w:rPr>
          <w:rFonts w:hint="eastAsia"/>
          <w:szCs w:val="21"/>
        </w:rPr>
        <w:t>）符合专业条件的供应商或者对采购文件做实质性响应的供应商不足三家；</w:t>
      </w:r>
    </w:p>
    <w:p>
      <w:pPr>
        <w:spacing w:before="120" w:line="320" w:lineRule="atLeast"/>
        <w:ind w:firstLineChars="200" w:firstLine="420"/>
        <w:rPr>
          <w:szCs w:val="21"/>
        </w:rPr>
      </w:pPr>
      <w:r>
        <w:rPr>
          <w:rFonts w:hint="eastAsia"/>
          <w:szCs w:val="21"/>
        </w:rPr>
        <w:t>（2）出现影响采购公正的违法、违规行为的；</w:t>
      </w:r>
    </w:p>
    <w:p>
      <w:pPr>
        <w:spacing w:before="120" w:line="320" w:lineRule="atLeast"/>
        <w:ind w:firstLineChars="200" w:firstLine="420"/>
        <w:rPr>
          <w:szCs w:val="21"/>
        </w:rPr>
      </w:pPr>
      <w:r>
        <w:rPr>
          <w:rFonts w:hint="eastAsia"/>
          <w:szCs w:val="21"/>
        </w:rPr>
        <w:t>（3）供应商的报价均超过了采购预算，采购人不能支付的；</w:t>
      </w:r>
    </w:p>
    <w:p>
      <w:pPr>
        <w:spacing w:before="120" w:line="320" w:lineRule="atLeast"/>
        <w:ind w:firstLineChars="200" w:firstLine="420"/>
      </w:pPr>
      <w:r>
        <w:rPr>
          <w:rFonts w:hint="eastAsia"/>
          <w:szCs w:val="21"/>
        </w:rPr>
        <w:t>（4）</w:t>
      </w:r>
      <w:r>
        <w:rPr>
          <w:rFonts w:hint="eastAsia"/>
        </w:rPr>
        <w:t>因发生重大变故或采购任务取消的。</w:t>
      </w:r>
    </w:p>
    <w:p>
      <w:pPr>
        <w:spacing w:before="120" w:line="320" w:lineRule="atLeast"/>
        <w:ind w:firstLineChars="200" w:firstLine="420"/>
        <w:rPr>
          <w:szCs w:val="21"/>
        </w:rPr>
      </w:pPr>
      <w:r>
        <w:rPr>
          <w:kern w:val="2"/>
          <w:szCs w:val="21"/>
        </w:rPr>
        <w:t>6.6.2</w:t>
      </w:r>
      <w:r>
        <w:rPr>
          <w:rFonts w:hint="eastAsia"/>
          <w:kern w:val="2"/>
          <w:szCs w:val="21"/>
        </w:rPr>
        <w:t>废标后</w:t>
      </w:r>
      <w:r>
        <w:rPr>
          <w:rFonts w:hint="eastAsia"/>
          <w:szCs w:val="21"/>
        </w:rPr>
        <w:t>采购</w:t>
      </w:r>
      <w:r>
        <w:rPr>
          <w:rFonts w:hint="eastAsia"/>
          <w:kern w:val="2"/>
          <w:szCs w:val="21"/>
        </w:rPr>
        <w:t>代理机构将发布废标公告通知供应商。</w:t>
      </w:r>
    </w:p>
    <w:p>
      <w:pPr>
        <w:spacing w:before="120" w:line="320" w:lineRule="atLeast"/>
        <w:ind w:leftChars="1" w:left="2" w:firstLineChars="200" w:firstLine="420"/>
        <w:outlineLvl w:val="1"/>
        <w:rPr>
          <w:b/>
          <w:bCs/>
          <w:kern w:val="0"/>
          <w:szCs w:val="21"/>
        </w:rPr>
      </w:pPr>
      <w:r>
        <w:rPr>
          <w:b/>
          <w:bCs/>
          <w:kern w:val="0"/>
          <w:szCs w:val="21"/>
        </w:rPr>
        <w:t>7．合同</w:t>
      </w:r>
    </w:p>
    <w:p>
      <w:pPr>
        <w:spacing w:before="120" w:line="320" w:lineRule="atLeast"/>
        <w:ind w:firstLineChars="200" w:firstLine="420"/>
        <w:outlineLvl w:val="2"/>
        <w:rPr>
          <w:b/>
          <w:bCs/>
          <w:kern w:val="0"/>
          <w:szCs w:val="21"/>
        </w:rPr>
      </w:pPr>
      <w:r>
        <w:rPr>
          <w:b/>
          <w:bCs/>
          <w:kern w:val="0"/>
          <w:szCs w:val="21"/>
        </w:rPr>
        <w:t>7.1合同授予标准</w:t>
      </w:r>
    </w:p>
    <w:p>
      <w:pPr>
        <w:spacing w:before="120" w:line="320" w:lineRule="atLeast"/>
        <w:ind w:firstLineChars="200" w:firstLine="420"/>
        <w:rPr>
          <w:szCs w:val="21"/>
        </w:rPr>
      </w:pPr>
      <w:r>
        <w:rPr>
          <w:szCs w:val="21"/>
        </w:rPr>
        <w:t>合同将授予被确定实质上响应采购文件要求，具备履行合同能力，综合评分排名第一的供应商。在</w:t>
      </w:r>
      <w:r>
        <w:rPr>
          <w:rFonts w:hint="eastAsia"/>
          <w:szCs w:val="21"/>
        </w:rPr>
        <w:t>成交通知书</w:t>
      </w:r>
      <w:r>
        <w:rPr>
          <w:szCs w:val="21"/>
        </w:rPr>
        <w:t>发出前或签订合同前，如果</w:t>
      </w:r>
      <w:r>
        <w:rPr>
          <w:rFonts w:hint="eastAsia"/>
          <w:szCs w:val="21"/>
        </w:rPr>
        <w:t>成交供应商</w:t>
      </w:r>
      <w:r>
        <w:rPr>
          <w:szCs w:val="21"/>
        </w:rPr>
        <w:t>的组织机构</w:t>
      </w:r>
      <w:r>
        <w:rPr>
          <w:rFonts w:hint="eastAsia"/>
          <w:szCs w:val="21"/>
        </w:rPr>
        <w:t>、</w:t>
      </w:r>
      <w:r>
        <w:rPr>
          <w:szCs w:val="21"/>
        </w:rPr>
        <w:t>经营、财务状况发生较大变化，可能造成不能履行合同、无法按照</w:t>
      </w:r>
      <w:r>
        <w:rPr>
          <w:rFonts w:hint="eastAsia"/>
          <w:szCs w:val="21"/>
        </w:rPr>
        <w:t>采购文件</w:t>
      </w:r>
      <w:r>
        <w:rPr>
          <w:szCs w:val="21"/>
        </w:rPr>
        <w:t>要求提交履约保证金等情形，不符合</w:t>
      </w:r>
      <w:r>
        <w:rPr>
          <w:rFonts w:hint="eastAsia"/>
          <w:szCs w:val="21"/>
        </w:rPr>
        <w:t>成交</w:t>
      </w:r>
      <w:r>
        <w:rPr>
          <w:szCs w:val="21"/>
        </w:rPr>
        <w:t>条件或不满足供应商资格条件要求 ，应在</w:t>
      </w:r>
      <w:r>
        <w:rPr>
          <w:rFonts w:hint="eastAsia"/>
          <w:szCs w:val="21"/>
        </w:rPr>
        <w:t>成交通知书</w:t>
      </w:r>
      <w:r>
        <w:rPr>
          <w:szCs w:val="21"/>
        </w:rPr>
        <w:t>发出前或签订合同前及时书面告知采购人</w:t>
      </w:r>
      <w:r>
        <w:rPr>
          <w:rFonts w:hint="eastAsia"/>
          <w:szCs w:val="21"/>
        </w:rPr>
        <w:t>，</w:t>
      </w:r>
      <w:r>
        <w:rPr>
          <w:szCs w:val="21"/>
        </w:rPr>
        <w:t>未主动告知</w:t>
      </w:r>
      <w:r>
        <w:rPr>
          <w:rFonts w:hint="eastAsia"/>
          <w:szCs w:val="21"/>
        </w:rPr>
        <w:t>，</w:t>
      </w:r>
      <w:r>
        <w:rPr>
          <w:szCs w:val="21"/>
        </w:rPr>
        <w:t>给采购人造成损失的</w:t>
      </w:r>
      <w:r>
        <w:rPr>
          <w:rFonts w:hint="eastAsia"/>
          <w:szCs w:val="21"/>
        </w:rPr>
        <w:t>，</w:t>
      </w:r>
      <w:r>
        <w:rPr>
          <w:szCs w:val="21"/>
        </w:rPr>
        <w:t>采购人有权</w:t>
      </w:r>
      <w:r>
        <w:rPr>
          <w:rFonts w:hint="eastAsia"/>
          <w:szCs w:val="21"/>
        </w:rPr>
        <w:t>取消其成交资格并</w:t>
      </w:r>
      <w:r>
        <w:rPr>
          <w:szCs w:val="21"/>
        </w:rPr>
        <w:t>没收磋商保证金</w:t>
      </w:r>
      <w:r>
        <w:rPr>
          <w:rFonts w:hint="eastAsia"/>
          <w:szCs w:val="21"/>
        </w:rPr>
        <w:t>。</w:t>
      </w:r>
    </w:p>
    <w:p>
      <w:pPr>
        <w:spacing w:before="120" w:line="320" w:lineRule="atLeast"/>
        <w:ind w:firstLineChars="200" w:firstLine="420"/>
        <w:outlineLvl w:val="2"/>
        <w:rPr>
          <w:b/>
          <w:bCs/>
          <w:kern w:val="0"/>
          <w:szCs w:val="21"/>
        </w:rPr>
      </w:pPr>
      <w:r>
        <w:rPr>
          <w:b/>
          <w:bCs/>
          <w:kern w:val="0"/>
          <w:szCs w:val="21"/>
        </w:rPr>
        <w:t>7.2签订合同</w:t>
      </w:r>
    </w:p>
    <w:p>
      <w:pPr>
        <w:spacing w:before="120" w:line="320" w:lineRule="atLeast"/>
        <w:ind w:firstLineChars="200" w:firstLine="420"/>
        <w:rPr>
          <w:szCs w:val="21"/>
        </w:rPr>
      </w:pPr>
      <w:r>
        <w:rPr>
          <w:szCs w:val="21"/>
        </w:rPr>
        <w:t>7.2.1如</w:t>
      </w:r>
      <w:r>
        <w:rPr>
          <w:rFonts w:hint="eastAsia"/>
          <w:szCs w:val="21"/>
        </w:rPr>
        <w:t>采购文件</w:t>
      </w:r>
      <w:r>
        <w:rPr>
          <w:szCs w:val="21"/>
        </w:rPr>
        <w:t>无</w:t>
      </w:r>
      <w:r>
        <w:rPr>
          <w:rFonts w:hint="eastAsia"/>
          <w:szCs w:val="21"/>
        </w:rPr>
        <w:t>特别</w:t>
      </w:r>
      <w:r>
        <w:rPr>
          <w:szCs w:val="21"/>
        </w:rPr>
        <w:t>规定，</w:t>
      </w:r>
      <w:r>
        <w:rPr>
          <w:rFonts w:hint="eastAsia"/>
          <w:szCs w:val="21"/>
        </w:rPr>
        <w:t>成交供应商按采购文件确定的事项签订政府采购合同。</w:t>
      </w:r>
    </w:p>
    <w:p>
      <w:pPr>
        <w:spacing w:before="120" w:line="320" w:lineRule="atLeast"/>
        <w:ind w:firstLineChars="200" w:firstLine="420"/>
        <w:rPr>
          <w:szCs w:val="21"/>
        </w:rPr>
      </w:pPr>
      <w:r>
        <w:rPr>
          <w:szCs w:val="21"/>
        </w:rPr>
        <w:t>7.2.2</w:t>
      </w:r>
      <w:r>
        <w:rPr>
          <w:rFonts w:hint="eastAsia"/>
          <w:szCs w:val="21"/>
        </w:rPr>
        <w:t>政府采购合同应当包括采购人与成交供应商的名称和住所、标的、数量、质量、价款或者报酬、履行期限及地点和方式、验收要求、违约责任、解决争议的方法等内容。</w:t>
      </w:r>
      <w:r>
        <w:rPr>
          <w:szCs w:val="21"/>
        </w:rPr>
        <w:t>采购文件、成交供应商的响应文件及澄清文件等，均为签订政府采购合同的依据。</w:t>
      </w:r>
    </w:p>
    <w:p>
      <w:pPr>
        <w:spacing w:before="120" w:line="320" w:lineRule="atLeast"/>
        <w:ind w:firstLineChars="200" w:firstLine="420"/>
        <w:rPr>
          <w:szCs w:val="21"/>
        </w:rPr>
      </w:pPr>
      <w:r>
        <w:rPr>
          <w:szCs w:val="21"/>
        </w:rPr>
        <w:t>7.2.3如成交供应商不按成交通知书的规定签订合同，</w:t>
      </w:r>
      <w:r>
        <w:rPr>
          <w:rFonts w:hint="eastAsia"/>
          <w:szCs w:val="21"/>
        </w:rPr>
        <w:t>其磋商保证金将不予退还，并报由同级政府采购监督管理部门处理。</w:t>
      </w:r>
    </w:p>
    <w:p>
      <w:pPr>
        <w:spacing w:before="120" w:line="320" w:lineRule="atLeast"/>
        <w:ind w:firstLineChars="200" w:firstLine="420"/>
        <w:rPr>
          <w:szCs w:val="21"/>
        </w:rPr>
      </w:pPr>
      <w:r>
        <w:rPr>
          <w:rFonts w:hint="eastAsia"/>
          <w:szCs w:val="21"/>
        </w:rPr>
        <w:t>7</w:t>
      </w:r>
      <w:r>
        <w:rPr>
          <w:szCs w:val="21"/>
        </w:rPr>
        <w:t>.2.4</w:t>
      </w:r>
      <w:r>
        <w:rPr>
          <w:rFonts w:hint="eastAsia"/>
          <w:szCs w:val="21"/>
        </w:rPr>
        <w:t xml:space="preserve">成交供应商拒绝与采购人签订合同的，采购人可以按照评审报告推荐的成交候选人名单排序，确定下一候选人为成交供应商，也可以重新开展政府采购活动。 </w:t>
      </w:r>
    </w:p>
    <w:p>
      <w:pPr>
        <w:spacing w:before="120" w:line="320" w:lineRule="atLeast"/>
        <w:ind w:firstLineChars="200" w:firstLine="420"/>
        <w:rPr>
          <w:szCs w:val="21"/>
        </w:rPr>
      </w:pPr>
      <w:bookmarkStart w:id="87" w:name="_Hlk155170999"/>
      <w:r>
        <w:rPr>
          <w:rFonts w:hint="eastAsia"/>
          <w:szCs w:val="21"/>
        </w:rPr>
        <w:t>7</w:t>
      </w:r>
      <w:r>
        <w:rPr>
          <w:szCs w:val="21"/>
        </w:rPr>
        <w:t>.2.5</w:t>
      </w:r>
      <w:r>
        <w:rPr>
          <w:rFonts w:hint="eastAsia"/>
          <w:szCs w:val="21"/>
        </w:rPr>
        <w:t>采购人因不可抗力原因迟延签订合同的，</w:t>
      </w:r>
      <w:bookmarkEnd w:id="87"/>
      <w:r>
        <w:rPr>
          <w:rFonts w:hint="eastAsia"/>
          <w:szCs w:val="21"/>
        </w:rPr>
        <w:t>应当自不可抗力事由消除之日起5个工作日内完成合同签订事宜。</w:t>
      </w:r>
    </w:p>
    <w:p>
      <w:pPr>
        <w:spacing w:before="120" w:line="320" w:lineRule="atLeast"/>
        <w:ind w:firstLineChars="200" w:firstLine="420"/>
        <w:outlineLvl w:val="2"/>
        <w:rPr>
          <w:b/>
          <w:bCs/>
          <w:kern w:val="0"/>
          <w:szCs w:val="21"/>
        </w:rPr>
      </w:pPr>
      <w:r>
        <w:rPr>
          <w:b/>
          <w:bCs/>
          <w:kern w:val="0"/>
          <w:szCs w:val="21"/>
        </w:rPr>
        <w:t>7.3合同公告</w:t>
      </w:r>
    </w:p>
    <w:p>
      <w:pPr>
        <w:spacing w:before="120" w:line="320" w:lineRule="atLeast"/>
        <w:ind w:firstLineChars="200" w:firstLine="420"/>
        <w:rPr>
          <w:szCs w:val="21"/>
        </w:rPr>
      </w:pPr>
      <w:r>
        <w:rPr>
          <w:szCs w:val="21"/>
        </w:rPr>
        <w:t>7.3.1如</w:t>
      </w:r>
      <w:r>
        <w:rPr>
          <w:rFonts w:hint="eastAsia"/>
          <w:szCs w:val="21"/>
        </w:rPr>
        <w:t>采购文件</w:t>
      </w:r>
      <w:r>
        <w:rPr>
          <w:szCs w:val="21"/>
        </w:rPr>
        <w:t>无特殊规定</w:t>
      </w:r>
      <w:r>
        <w:rPr>
          <w:rFonts w:hint="eastAsia"/>
          <w:szCs w:val="21"/>
        </w:rPr>
        <w:t>，</w:t>
      </w:r>
      <w:r>
        <w:rPr>
          <w:szCs w:val="21"/>
        </w:rPr>
        <w:t>成交供应商应在签订合同后1个工作日内，将政府采购合同副本送采购代理机构</w:t>
      </w:r>
      <w:r>
        <w:rPr>
          <w:rFonts w:hint="eastAsia"/>
          <w:szCs w:val="21"/>
        </w:rPr>
        <w:t>存档</w:t>
      </w:r>
      <w:r>
        <w:rPr>
          <w:szCs w:val="21"/>
        </w:rPr>
        <w:t>。</w:t>
      </w:r>
    </w:p>
    <w:p>
      <w:pPr>
        <w:spacing w:before="120" w:line="320" w:lineRule="atLeast"/>
        <w:ind w:firstLineChars="200" w:firstLine="420"/>
        <w:rPr>
          <w:szCs w:val="21"/>
        </w:rPr>
      </w:pPr>
      <w:r>
        <w:rPr>
          <w:szCs w:val="21"/>
        </w:rPr>
        <w:t>7.3.2采购人应当自政府采购合同签订之日起2个工作日内，将政府采购合同在省级以上人民政府财政部门指定的媒体上公告，但政府采购合同中涉及国家秘密、商业秘密的内容除外。</w:t>
      </w:r>
    </w:p>
    <w:p>
      <w:pPr>
        <w:spacing w:before="120" w:line="320" w:lineRule="atLeast"/>
        <w:ind w:firstLineChars="200" w:firstLine="420"/>
        <w:rPr>
          <w:szCs w:val="21"/>
        </w:rPr>
      </w:pPr>
      <w:bookmarkStart w:id="88" w:name="_Hlk155171014"/>
      <w:r>
        <w:rPr>
          <w:rFonts w:hint="eastAsia"/>
          <w:szCs w:val="21"/>
        </w:rPr>
        <w:t>7</w:t>
      </w:r>
      <w:r>
        <w:rPr>
          <w:szCs w:val="21"/>
        </w:rPr>
        <w:t xml:space="preserve">.3.3 </w:t>
      </w:r>
      <w:r>
        <w:rPr>
          <w:rFonts w:hint="eastAsia"/>
          <w:szCs w:val="21"/>
        </w:rPr>
        <w:t>政府采购合同双方不得擅自变更合同，依照政府采购法确需变更政府采购合同内容的，采购人应当自合同变更之日起2个工作日内在省级以上财政部门指定的媒体上发布政府采购合同变更公告，但涉及国家秘密、商业秘密的信息和其他依法不得公开的信息除外。</w:t>
      </w:r>
      <w:bookmarkEnd w:id="88"/>
    </w:p>
    <w:p>
      <w:pPr>
        <w:spacing w:before="120" w:line="320" w:lineRule="atLeast"/>
        <w:ind w:firstLineChars="200" w:firstLine="420"/>
        <w:outlineLvl w:val="2"/>
        <w:rPr>
          <w:b/>
          <w:bCs/>
          <w:kern w:val="0"/>
          <w:szCs w:val="21"/>
        </w:rPr>
      </w:pPr>
      <w:r>
        <w:rPr>
          <w:b/>
          <w:bCs/>
          <w:kern w:val="0"/>
          <w:szCs w:val="21"/>
        </w:rPr>
        <w:t>7.4 履行合同</w:t>
      </w:r>
    </w:p>
    <w:p>
      <w:pPr>
        <w:spacing w:before="120" w:line="320" w:lineRule="atLeast"/>
        <w:ind w:firstLineChars="200" w:firstLine="420"/>
        <w:rPr>
          <w:szCs w:val="21"/>
        </w:rPr>
      </w:pPr>
      <w:bookmarkStart w:id="89" w:name="_Toc308164814"/>
      <w:bookmarkStart w:id="90" w:name="_Toc217446070"/>
      <w:r>
        <w:rPr>
          <w:szCs w:val="21"/>
        </w:rPr>
        <w:t>7.4.1</w:t>
      </w:r>
      <w:r>
        <w:rPr>
          <w:rFonts w:hint="eastAsia"/>
          <w:szCs w:val="21"/>
        </w:rPr>
        <w:t>采购人与成交供应商签订合同后，政府采购合同的履行、违约责任和解决争议的方法等适用《中华人民共和国民法典》。合同双方应严格执行合同条款，履行合同规定的义务，保证合同的顺利完成。双方均不得擅自变更、中止或者终止政府采购合同。</w:t>
      </w:r>
    </w:p>
    <w:p>
      <w:pPr>
        <w:spacing w:before="120" w:line="320" w:lineRule="atLeast"/>
        <w:ind w:firstLineChars="200" w:firstLine="420"/>
        <w:rPr>
          <w:b/>
          <w:bCs/>
          <w:kern w:val="0"/>
          <w:szCs w:val="21"/>
        </w:rPr>
      </w:pPr>
      <w:r>
        <w:rPr>
          <w:b/>
          <w:bCs/>
          <w:kern w:val="0"/>
          <w:szCs w:val="21"/>
        </w:rPr>
        <w:t>7.5履约验收</w:t>
      </w:r>
      <w:bookmarkEnd w:id="89"/>
      <w:bookmarkEnd w:id="90"/>
    </w:p>
    <w:p>
      <w:pPr>
        <w:spacing w:before="120" w:line="320" w:lineRule="atLeast"/>
        <w:ind w:firstLineChars="200" w:firstLine="420"/>
        <w:rPr>
          <w:szCs w:val="21"/>
        </w:rPr>
      </w:pPr>
      <w:r>
        <w:rPr>
          <w:szCs w:val="21"/>
        </w:rPr>
        <w:t>7.5.1采购人可以根据政府采购项目具体情况自行组织验收，或者委托政府采购代理机构、国家认可的质量检测机构开展采购项目履约验收工作。</w:t>
      </w:r>
    </w:p>
    <w:p>
      <w:pPr>
        <w:spacing w:before="120" w:line="320" w:lineRule="atLeast"/>
        <w:ind w:firstLineChars="200" w:firstLine="420"/>
        <w:rPr>
          <w:szCs w:val="21"/>
        </w:rPr>
      </w:pPr>
      <w:r>
        <w:rPr>
          <w:szCs w:val="21"/>
        </w:rPr>
        <w:t>7.5.2验收结果合格的，成交供应商可向采购人申请办理履约保证金（如有）的退付手续；验收结果不合格的，履约保证金（如有）将不予退还，并按合同约定处理，还可能会报告本项目同级财政部门并按照政府采购法律法规及有关规定给予行政处罚或者以失信行为记入诚信档案。</w:t>
      </w:r>
    </w:p>
    <w:p>
      <w:pPr>
        <w:spacing w:before="120" w:line="320" w:lineRule="atLeast"/>
        <w:ind w:firstLineChars="200" w:firstLine="420"/>
        <w:rPr>
          <w:szCs w:val="21"/>
        </w:rPr>
      </w:pPr>
      <w:r>
        <w:rPr>
          <w:szCs w:val="21"/>
        </w:rPr>
        <w:t>7.5.3采购合同项目完成验收后，采购人应当将验收原始记录、验收书等资料作为该采购项目档案妥善保管，不得伪造、变造、隐匿或者销毁，验收资料保存期为采购结束之日起至少保存15年。</w:t>
      </w:r>
    </w:p>
    <w:p>
      <w:pPr>
        <w:spacing w:before="120" w:line="320" w:lineRule="atLeast"/>
        <w:ind w:firstLineChars="200" w:firstLine="420"/>
        <w:rPr>
          <w:szCs w:val="21"/>
        </w:rPr>
      </w:pPr>
      <w:r>
        <w:rPr>
          <w:szCs w:val="21"/>
        </w:rPr>
        <w:t>7.5.4本项目将严格按照本采购文件及合同有关规定进行合同履约验收。采购文件或合同未规定的按财政部关于进一步加强政府采购需求和履约验收管理的指导意见（财库〔2016〕205号）以及《广西壮族自治区政府采购项目履约验收管理办法》（桂财采〔2015〕22号）的规定执行。</w:t>
      </w:r>
    </w:p>
    <w:p>
      <w:pPr>
        <w:spacing w:before="120" w:line="320" w:lineRule="atLeast"/>
        <w:ind w:leftChars="1" w:left="2" w:firstLineChars="200" w:firstLine="420"/>
        <w:outlineLvl w:val="1"/>
        <w:rPr>
          <w:b/>
          <w:bCs/>
          <w:kern w:val="0"/>
          <w:szCs w:val="21"/>
        </w:rPr>
      </w:pPr>
      <w:bookmarkStart w:id="91" w:name="_Toc254970674"/>
      <w:bookmarkStart w:id="92" w:name="_Toc254970533"/>
      <w:r>
        <w:rPr>
          <w:b/>
          <w:bCs/>
          <w:kern w:val="0"/>
          <w:szCs w:val="21"/>
        </w:rPr>
        <w:t>8．质疑和投诉</w:t>
      </w:r>
      <w:bookmarkEnd w:id="91"/>
      <w:bookmarkEnd w:id="92"/>
    </w:p>
    <w:p>
      <w:pPr>
        <w:spacing w:before="120" w:line="320" w:lineRule="atLeast"/>
        <w:ind w:firstLineChars="200" w:firstLine="420"/>
        <w:outlineLvl w:val="2"/>
        <w:rPr>
          <w:b/>
          <w:bCs/>
          <w:kern w:val="0"/>
          <w:szCs w:val="21"/>
        </w:rPr>
      </w:pPr>
      <w:r>
        <w:rPr>
          <w:b/>
          <w:bCs/>
          <w:kern w:val="0"/>
          <w:szCs w:val="21"/>
        </w:rPr>
        <w:t>8.1质疑</w:t>
      </w:r>
    </w:p>
    <w:p>
      <w:pPr>
        <w:spacing w:before="120" w:line="320" w:lineRule="atLeast"/>
        <w:ind w:firstLineChars="200" w:firstLine="420"/>
        <w:rPr>
          <w:szCs w:val="21"/>
        </w:rPr>
      </w:pPr>
      <w:r>
        <w:rPr>
          <w:szCs w:val="21"/>
        </w:rPr>
        <w:t>8.1.1质疑内容、时限</w:t>
      </w:r>
    </w:p>
    <w:p>
      <w:pPr>
        <w:spacing w:before="120" w:line="320" w:lineRule="atLeast"/>
        <w:ind w:firstLineChars="200" w:firstLine="420"/>
        <w:rPr>
          <w:szCs w:val="21"/>
        </w:rPr>
      </w:pPr>
      <w:r>
        <w:rPr>
          <w:rFonts w:hint="eastAsia"/>
          <w:szCs w:val="21"/>
        </w:rPr>
        <w:t>（1）供应商对政府采购活动有疑问的，可以向采购人或采购代理机构提出询问。采购人或者采购代理机构应当在3个工作日内对供应商依法提出的询问作出答复。</w:t>
      </w:r>
    </w:p>
    <w:p>
      <w:pPr>
        <w:spacing w:before="120" w:line="320" w:lineRule="atLeast"/>
        <w:ind w:firstLineChars="200" w:firstLine="420"/>
        <w:rPr>
          <w:szCs w:val="21"/>
        </w:rPr>
      </w:pPr>
      <w:r>
        <w:rPr>
          <w:rFonts w:hint="eastAsia"/>
          <w:szCs w:val="21"/>
        </w:rPr>
        <w:t>（2）供应商为认为采购文件、采购过程、中标或者成交结果使自己的权益受到损害的，可以在知道或者应知其权益受到损害之日起7个工作日内向采购人或采购代理机构提出质疑。采购人或</w:t>
      </w:r>
      <w:r>
        <w:rPr>
          <w:szCs w:val="21"/>
        </w:rPr>
        <w:t>采购代理机构在收到供应商书面质疑后7个工作日内，对质疑内容作出答复。</w:t>
      </w:r>
    </w:p>
    <w:p>
      <w:pPr>
        <w:spacing w:before="120" w:line="320" w:lineRule="atLeast"/>
        <w:ind w:firstLineChars="200" w:firstLine="420"/>
        <w:rPr>
          <w:szCs w:val="21"/>
        </w:rPr>
      </w:pPr>
      <w:r>
        <w:rPr>
          <w:szCs w:val="21"/>
        </w:rPr>
        <w:t>8.1.2质疑形式</w:t>
      </w:r>
    </w:p>
    <w:p>
      <w:pPr>
        <w:spacing w:before="120" w:line="320" w:lineRule="atLeast"/>
        <w:ind w:firstLineChars="200" w:firstLine="420"/>
        <w:rPr>
          <w:szCs w:val="21"/>
        </w:rPr>
      </w:pPr>
      <w:r>
        <w:rPr>
          <w:szCs w:val="21"/>
        </w:rPr>
        <w:t>质疑应当采用</w:t>
      </w:r>
      <w:r>
        <w:rPr>
          <w:rFonts w:hint="eastAsia"/>
          <w:szCs w:val="21"/>
        </w:rPr>
        <w:t>供应商</w:t>
      </w:r>
      <w:r>
        <w:rPr>
          <w:szCs w:val="21"/>
        </w:rPr>
        <w:t>须知前附表所规定的形式，质疑书应明确阐述</w:t>
      </w:r>
      <w:r>
        <w:rPr>
          <w:rFonts w:hint="eastAsia"/>
          <w:szCs w:val="21"/>
        </w:rPr>
        <w:t>采购文件</w:t>
      </w:r>
      <w:r>
        <w:rPr>
          <w:szCs w:val="21"/>
        </w:rPr>
        <w:t>、</w:t>
      </w:r>
      <w:r>
        <w:rPr>
          <w:rFonts w:hint="eastAsia"/>
          <w:szCs w:val="21"/>
        </w:rPr>
        <w:t>采购</w:t>
      </w:r>
      <w:r>
        <w:rPr>
          <w:szCs w:val="21"/>
        </w:rPr>
        <w:t>过程或</w:t>
      </w:r>
      <w:r>
        <w:rPr>
          <w:rFonts w:hint="eastAsia"/>
          <w:szCs w:val="21"/>
        </w:rPr>
        <w:t>成交</w:t>
      </w:r>
      <w:r>
        <w:rPr>
          <w:szCs w:val="21"/>
        </w:rPr>
        <w:t>结果中使自己合法权益受到损害的实质性内容，提供相关事实、依据和证据及其来源或线索，便于有关单位调查、答复和处理。</w:t>
      </w:r>
    </w:p>
    <w:p>
      <w:pPr>
        <w:spacing w:before="120" w:line="320" w:lineRule="atLeast"/>
        <w:ind w:firstLineChars="200" w:firstLine="420"/>
        <w:rPr>
          <w:szCs w:val="21"/>
        </w:rPr>
      </w:pPr>
      <w:r>
        <w:rPr>
          <w:rFonts w:hint="eastAsia"/>
          <w:szCs w:val="21"/>
        </w:rPr>
        <w:t>8</w:t>
      </w:r>
      <w:r>
        <w:rPr>
          <w:szCs w:val="21"/>
        </w:rPr>
        <w:t>.1.3</w:t>
      </w:r>
      <w:r>
        <w:rPr>
          <w:rFonts w:hint="eastAsia"/>
        </w:rPr>
        <w:t xml:space="preserve"> </w:t>
      </w:r>
      <w:r>
        <w:rPr>
          <w:rFonts w:hint="eastAsia"/>
          <w:szCs w:val="21"/>
        </w:rPr>
        <w:t>供应商提出质疑应当提交质疑函和必要的证明材料。质疑函应当包括下列内容：</w:t>
      </w:r>
    </w:p>
    <w:p>
      <w:pPr>
        <w:spacing w:before="120" w:line="320" w:lineRule="atLeast"/>
        <w:ind w:firstLineChars="200" w:firstLine="420"/>
        <w:rPr>
          <w:szCs w:val="21"/>
        </w:rPr>
      </w:pPr>
      <w:r>
        <w:rPr>
          <w:rFonts w:hint="eastAsia"/>
          <w:szCs w:val="21"/>
        </w:rPr>
        <w:t>（1）供应商的姓名或者名称、地址、邮编、联系人及联系电话；</w:t>
      </w:r>
    </w:p>
    <w:p>
      <w:pPr>
        <w:spacing w:before="120" w:line="320" w:lineRule="atLeast"/>
        <w:ind w:firstLineChars="200" w:firstLine="420"/>
        <w:rPr>
          <w:szCs w:val="21"/>
        </w:rPr>
      </w:pPr>
      <w:r>
        <w:rPr>
          <w:rFonts w:hint="eastAsia"/>
          <w:szCs w:val="21"/>
        </w:rPr>
        <w:t>（2）质疑项目的名称、编号；</w:t>
      </w:r>
    </w:p>
    <w:p>
      <w:pPr>
        <w:spacing w:before="120" w:line="320" w:lineRule="atLeast"/>
        <w:ind w:firstLineChars="200" w:firstLine="420"/>
        <w:rPr>
          <w:szCs w:val="21"/>
        </w:rPr>
      </w:pPr>
      <w:r>
        <w:rPr>
          <w:rFonts w:hint="eastAsia"/>
          <w:szCs w:val="21"/>
        </w:rPr>
        <w:t>（3）具体、明确的质疑事项和与质疑事项相关的请求；</w:t>
      </w:r>
    </w:p>
    <w:p>
      <w:pPr>
        <w:spacing w:before="120" w:line="320" w:lineRule="atLeast"/>
        <w:ind w:firstLineChars="200" w:firstLine="420"/>
        <w:rPr>
          <w:szCs w:val="21"/>
        </w:rPr>
      </w:pPr>
      <w:r>
        <w:rPr>
          <w:rFonts w:hint="eastAsia"/>
          <w:szCs w:val="21"/>
        </w:rPr>
        <w:t>（4）事实依据；</w:t>
      </w:r>
    </w:p>
    <w:p>
      <w:pPr>
        <w:spacing w:before="120" w:line="320" w:lineRule="atLeast"/>
        <w:ind w:firstLineChars="200" w:firstLine="420"/>
        <w:rPr>
          <w:szCs w:val="21"/>
        </w:rPr>
      </w:pPr>
      <w:r>
        <w:rPr>
          <w:rFonts w:hint="eastAsia"/>
          <w:szCs w:val="21"/>
        </w:rPr>
        <w:t>（5）必要的法律依据；</w:t>
      </w:r>
    </w:p>
    <w:p>
      <w:pPr>
        <w:spacing w:before="120" w:line="320" w:lineRule="atLeast"/>
        <w:ind w:firstLineChars="200" w:firstLine="420"/>
        <w:rPr>
          <w:szCs w:val="21"/>
        </w:rPr>
      </w:pPr>
      <w:r>
        <w:rPr>
          <w:rFonts w:hint="eastAsia"/>
          <w:szCs w:val="21"/>
        </w:rPr>
        <w:t>（6）提出质疑的日期。</w:t>
      </w:r>
    </w:p>
    <w:p>
      <w:pPr>
        <w:spacing w:before="120" w:line="320" w:lineRule="atLeast"/>
        <w:ind w:firstLineChars="200" w:firstLine="420"/>
        <w:rPr>
          <w:szCs w:val="21"/>
        </w:rPr>
      </w:pPr>
      <w:r>
        <w:rPr>
          <w:rFonts w:hint="eastAsia"/>
          <w:szCs w:val="21"/>
        </w:rPr>
        <w:t>供应商为自然人的，应当由本人签字；供应商为法人或者其他组织的，应当由法定代表人、主要负责人，或者其授权代表签字或者盖章，并加盖公章。</w:t>
      </w:r>
      <w:r>
        <w:rPr>
          <w:szCs w:val="21"/>
        </w:rPr>
        <w:t xml:space="preserve"> </w:t>
      </w:r>
    </w:p>
    <w:p>
      <w:pPr>
        <w:spacing w:before="120" w:line="320" w:lineRule="atLeast"/>
        <w:ind w:firstLineChars="200" w:firstLine="420"/>
        <w:outlineLvl w:val="2"/>
        <w:rPr>
          <w:b/>
          <w:bCs/>
          <w:kern w:val="0"/>
          <w:szCs w:val="21"/>
        </w:rPr>
      </w:pPr>
      <w:r>
        <w:rPr>
          <w:b/>
          <w:bCs/>
          <w:kern w:val="0"/>
          <w:szCs w:val="21"/>
        </w:rPr>
        <w:t>8.2投诉</w:t>
      </w:r>
    </w:p>
    <w:p>
      <w:pPr>
        <w:spacing w:before="120" w:line="320" w:lineRule="atLeast"/>
        <w:ind w:firstLineChars="200" w:firstLine="420"/>
        <w:rPr>
          <w:szCs w:val="21"/>
        </w:rPr>
      </w:pPr>
      <w:r>
        <w:rPr>
          <w:szCs w:val="21"/>
        </w:rPr>
        <w:t>8.2.1供应商对采购人、采购代理机构的答复不满意，或者采购人、采购代理机构未在规定时间内答复的，可在答复期满后15个工作日内按有关规定，向同级财政部门投诉。</w:t>
      </w:r>
    </w:p>
    <w:p>
      <w:pPr>
        <w:spacing w:before="120" w:line="320" w:lineRule="atLeast"/>
        <w:ind w:firstLineChars="200" w:firstLine="420"/>
        <w:rPr>
          <w:szCs w:val="21"/>
        </w:rPr>
      </w:pPr>
      <w:r>
        <w:rPr>
          <w:szCs w:val="21"/>
        </w:rPr>
        <w:t>8.2.</w:t>
      </w:r>
      <w:r>
        <w:rPr>
          <w:rFonts w:hint="eastAsia"/>
          <w:szCs w:val="21"/>
        </w:rPr>
        <w:t>2投诉</w:t>
      </w:r>
      <w:r>
        <w:rPr>
          <w:szCs w:val="21"/>
        </w:rPr>
        <w:t>书应使用财政部发布的</w:t>
      </w:r>
      <w:r>
        <w:rPr>
          <w:rFonts w:hint="eastAsia"/>
          <w:szCs w:val="21"/>
        </w:rPr>
        <w:t>政府采购供应投诉书范本，并应按照“投诉书制作说明”进行编写。</w:t>
      </w:r>
    </w:p>
    <w:p>
      <w:pPr>
        <w:spacing w:before="120" w:line="320" w:lineRule="atLeast"/>
        <w:ind w:leftChars="1" w:left="2" w:firstLineChars="200" w:firstLine="420"/>
        <w:outlineLvl w:val="1"/>
        <w:rPr>
          <w:b/>
          <w:bCs/>
          <w:kern w:val="0"/>
          <w:szCs w:val="21"/>
        </w:rPr>
      </w:pPr>
      <w:r>
        <w:rPr>
          <w:b/>
          <w:bCs/>
          <w:kern w:val="0"/>
          <w:szCs w:val="21"/>
        </w:rPr>
        <w:t>9．其他事项</w:t>
      </w:r>
    </w:p>
    <w:p>
      <w:pPr>
        <w:spacing w:before="120" w:line="320" w:lineRule="atLeast"/>
        <w:ind w:firstLineChars="200" w:firstLine="420"/>
        <w:rPr>
          <w:szCs w:val="21"/>
        </w:rPr>
      </w:pPr>
      <w:r>
        <w:rPr>
          <w:szCs w:val="21"/>
        </w:rPr>
        <w:t>9.1代理服务收费由采购代理机构向成交供应商收取。签订合同前，成交供应商应向采购代理机构一次付清代理服务费。</w:t>
      </w:r>
    </w:p>
    <w:p>
      <w:pPr>
        <w:spacing w:before="120" w:line="276" w:lineRule="auto"/>
        <w:ind w:firstLineChars="200" w:firstLine="420"/>
        <w:rPr>
          <w:szCs w:val="21"/>
        </w:rPr>
      </w:pPr>
      <w:r>
        <w:rPr>
          <w:szCs w:val="21"/>
        </w:rPr>
        <w:t>9.2</w:t>
      </w:r>
      <w:r>
        <w:rPr>
          <w:rFonts w:hint="eastAsia"/>
          <w:szCs w:val="21"/>
        </w:rPr>
        <w:t>本项目的其他事项</w:t>
      </w:r>
      <w:r>
        <w:rPr>
          <w:szCs w:val="21"/>
        </w:rPr>
        <w:t>详见供应商须知前附表</w:t>
      </w:r>
      <w:r>
        <w:rPr>
          <w:rFonts w:hint="eastAsia"/>
          <w:szCs w:val="21"/>
        </w:rPr>
        <w:t>。</w:t>
      </w:r>
    </w:p>
    <w:p>
      <w:pPr>
        <w:spacing w:before="120" w:line="320" w:lineRule="atLeast"/>
        <w:ind w:leftChars="1" w:left="2" w:firstLineChars="200" w:firstLine="420"/>
        <w:outlineLvl w:val="1"/>
        <w:rPr>
          <w:b/>
          <w:bCs/>
          <w:kern w:val="0"/>
          <w:szCs w:val="21"/>
        </w:rPr>
      </w:pPr>
      <w:r>
        <w:rPr>
          <w:b/>
          <w:bCs/>
          <w:kern w:val="0"/>
          <w:szCs w:val="21"/>
        </w:rPr>
        <w:t>10．</w:t>
      </w:r>
      <w:r>
        <w:rPr>
          <w:rFonts w:hint="eastAsia"/>
          <w:b/>
          <w:bCs/>
          <w:kern w:val="0"/>
          <w:szCs w:val="21"/>
        </w:rPr>
        <w:t>其他说明</w:t>
      </w:r>
    </w:p>
    <w:p>
      <w:pPr>
        <w:spacing w:before="120" w:line="320" w:lineRule="atLeast"/>
        <w:ind w:leftChars="1" w:left="2" w:firstLineChars="200" w:firstLine="420"/>
        <w:rPr>
          <w:kern w:val="0"/>
          <w:szCs w:val="21"/>
        </w:rPr>
      </w:pPr>
      <w:r>
        <w:rPr>
          <w:rFonts w:hint="eastAsia"/>
          <w:szCs w:val="21"/>
        </w:rPr>
        <w:t>1</w:t>
      </w:r>
      <w:r>
        <w:rPr>
          <w:szCs w:val="21"/>
        </w:rPr>
        <w:t>0.1</w:t>
      </w:r>
      <w:r>
        <w:rPr>
          <w:rFonts w:hint="eastAsia"/>
          <w:szCs w:val="21"/>
        </w:rPr>
        <w:t>其余</w:t>
      </w:r>
      <w:r>
        <w:rPr>
          <w:rFonts w:hint="eastAsia"/>
          <w:kern w:val="0"/>
          <w:szCs w:val="21"/>
        </w:rPr>
        <w:t>未尽事宜按</w:t>
      </w:r>
      <w:r>
        <w:rPr>
          <w:kern w:val="0"/>
          <w:szCs w:val="21"/>
        </w:rPr>
        <w:t>《中华人民共和国政府采购法》、《中华人民共和国政府采购法实施条例》</w:t>
      </w:r>
      <w:r>
        <w:rPr>
          <w:rFonts w:hint="eastAsia"/>
          <w:kern w:val="0"/>
          <w:szCs w:val="21"/>
        </w:rPr>
        <w:t>的相关规定执行。</w:t>
      </w:r>
    </w:p>
    <w:p>
      <w:pPr>
        <w:spacing w:before="120" w:line="320" w:lineRule="atLeast"/>
        <w:ind w:leftChars="1" w:left="2" w:firstLineChars="200" w:firstLine="420"/>
        <w:rPr>
          <w:sz w:val="32"/>
          <w:szCs w:val="32"/>
        </w:rPr>
        <w:sectPr>
          <w:headerReference w:type="default" r:id="rId11"/>
          <w:headerReference w:type="first" r:id="rId12"/>
          <w:pgSz w:w="11906" w:h="16838"/>
          <w:pgMar w:top="1417" w:right="1133" w:bottom="1246" w:left="1418" w:header="851" w:footer="992" w:gutter="0"/>
          <w:titlePg/>
          <w:docGrid w:linePitch="312" w:charSpace="0"/>
        </w:sectPr>
      </w:pPr>
      <w:r>
        <w:rPr>
          <w:szCs w:val="21"/>
        </w:rPr>
        <w:t>10.2</w:t>
      </w:r>
      <w:r>
        <w:rPr>
          <w:rFonts w:hint="eastAsia"/>
          <w:szCs w:val="21"/>
        </w:rPr>
        <w:t>本</w:t>
      </w:r>
      <w:r>
        <w:rPr>
          <w:szCs w:val="21"/>
        </w:rPr>
        <w:t>采购文件</w:t>
      </w:r>
      <w:r>
        <w:t>是根据国家有关法律及有关政策、法规和参照国际惯例编制，解释权属采购代理机构。</w:t>
      </w:r>
      <w:bookmarkEnd w:id="45"/>
    </w:p>
    <w:p>
      <w:pPr>
        <w:pStyle w:val="31"/>
        <w:snapToGrid w:val="0"/>
        <w:spacing w:before="120" w:after="120" w:line="320" w:lineRule="exact"/>
        <w:jc w:val="center"/>
        <w:outlineLvl w:val="0"/>
        <w:rPr>
          <w:rFonts w:ascii="Times New Roman" w:cs="Times New Roman" w:hAnsi="Times New Roman"/>
          <w:sz w:val="32"/>
          <w:szCs w:val="32"/>
        </w:rPr>
      </w:pPr>
      <w:bookmarkStart w:id="93" w:name="_Toc14315"/>
      <w:bookmarkStart w:id="94" w:name="_Toc254970690"/>
      <w:bookmarkStart w:id="95" w:name="_Toc254970549"/>
      <w:r>
        <w:rPr>
          <w:rFonts w:ascii="Times New Roman" w:cs="Times New Roman" w:hAnsi="Times New Roman"/>
          <w:sz w:val="32"/>
          <w:szCs w:val="32"/>
        </w:rPr>
        <w:t>第</w:t>
      </w:r>
      <w:r>
        <w:rPr>
          <w:rFonts w:ascii="Times New Roman" w:cs="Times New Roman" w:hAnsi="Times New Roman" w:hint="eastAsia"/>
          <w:sz w:val="32"/>
          <w:szCs w:val="32"/>
        </w:rPr>
        <w:t>四</w:t>
      </w:r>
      <w:r>
        <w:rPr>
          <w:rFonts w:ascii="Times New Roman" w:cs="Times New Roman" w:hAnsi="Times New Roman"/>
          <w:sz w:val="32"/>
          <w:szCs w:val="32"/>
        </w:rPr>
        <w:t>章  评审方法及标准</w:t>
      </w:r>
      <w:bookmarkEnd w:id="93"/>
    </w:p>
    <w:p>
      <w:pPr>
        <w:spacing w:before="120" w:line="320" w:lineRule="atLeast"/>
        <w:ind w:firstLineChars="196" w:firstLine="412"/>
        <w:outlineLvl w:val="1"/>
        <w:rPr>
          <w:b/>
          <w:bCs/>
          <w:kern w:val="0"/>
          <w:szCs w:val="21"/>
        </w:rPr>
      </w:pPr>
      <w:r>
        <w:rPr>
          <w:rFonts w:hint="eastAsia"/>
          <w:b/>
          <w:bCs/>
          <w:kern w:val="0"/>
          <w:szCs w:val="21"/>
        </w:rPr>
        <w:t>1.</w:t>
      </w:r>
      <w:r>
        <w:rPr>
          <w:b/>
          <w:bCs/>
          <w:kern w:val="0"/>
          <w:szCs w:val="21"/>
        </w:rPr>
        <w:t>评审</w:t>
      </w:r>
      <w:r>
        <w:rPr>
          <w:rFonts w:hint="eastAsia"/>
          <w:b/>
          <w:bCs/>
          <w:kern w:val="0"/>
          <w:szCs w:val="21"/>
        </w:rPr>
        <w:t>方法</w:t>
      </w:r>
    </w:p>
    <w:p>
      <w:pPr>
        <w:widowControl w:val="0"/>
        <w:suppressAutoHyphens/>
        <w:spacing w:before="120" w:line="320" w:lineRule="atLeast"/>
        <w:ind w:firstLineChars="200" w:firstLine="420"/>
        <w:rPr>
          <w:kern w:val="2"/>
          <w:szCs w:val="21"/>
        </w:rPr>
      </w:pPr>
      <w:r>
        <w:rPr>
          <w:szCs w:val="21"/>
        </w:rPr>
        <w:t>本项目采用</w:t>
      </w:r>
      <w:r>
        <w:rPr>
          <w:bCs/>
          <w:kern w:val="2"/>
          <w:szCs w:val="21"/>
        </w:rPr>
        <w:t>综合评分法</w:t>
      </w:r>
      <w:r>
        <w:rPr>
          <w:szCs w:val="21"/>
        </w:rPr>
        <w:t>进行评审</w:t>
      </w:r>
      <w:r>
        <w:rPr>
          <w:bCs/>
          <w:kern w:val="2"/>
          <w:szCs w:val="21"/>
        </w:rPr>
        <w:t>。</w:t>
      </w:r>
      <w:r>
        <w:rPr>
          <w:szCs w:val="21"/>
        </w:rPr>
        <w:t>综合评分法，是指响应文件满足采购文件全部实质性要求且按照评审因素的量化指标评审得分最高的</w:t>
      </w:r>
      <w:r>
        <w:rPr>
          <w:rFonts w:hint="eastAsia"/>
          <w:szCs w:val="21"/>
        </w:rPr>
        <w:t>供应商</w:t>
      </w:r>
      <w:r>
        <w:rPr>
          <w:szCs w:val="21"/>
        </w:rPr>
        <w:t>为</w:t>
      </w:r>
      <w:r>
        <w:rPr>
          <w:rFonts w:hint="eastAsia"/>
          <w:szCs w:val="21"/>
        </w:rPr>
        <w:t>成交</w:t>
      </w:r>
      <w:r>
        <w:rPr>
          <w:szCs w:val="21"/>
        </w:rPr>
        <w:t>候选人的评审方法。</w:t>
      </w:r>
    </w:p>
    <w:p>
      <w:pPr>
        <w:widowControl w:val="0"/>
        <w:suppressAutoHyphens/>
        <w:spacing w:before="120" w:line="320" w:lineRule="atLeast"/>
        <w:ind w:firstLineChars="200" w:firstLine="420"/>
        <w:rPr>
          <w:kern w:val="2"/>
          <w:szCs w:val="21"/>
        </w:rPr>
      </w:pPr>
      <w:r>
        <w:rPr>
          <w:rFonts w:hint="eastAsia"/>
          <w:kern w:val="2"/>
          <w:szCs w:val="21"/>
        </w:rPr>
        <w:t>本项目评审的其他详细规定在第三章供应商须知中规定。</w:t>
      </w:r>
    </w:p>
    <w:p>
      <w:pPr>
        <w:spacing w:before="120" w:line="320" w:lineRule="atLeast"/>
        <w:ind w:firstLineChars="196" w:firstLine="412"/>
        <w:outlineLvl w:val="1"/>
        <w:rPr>
          <w:b/>
          <w:bCs/>
          <w:kern w:val="0"/>
          <w:szCs w:val="21"/>
        </w:rPr>
      </w:pPr>
      <w:r>
        <w:rPr>
          <w:b/>
          <w:kern w:val="0"/>
          <w:szCs w:val="21"/>
        </w:rPr>
        <w:t>2</w:t>
      </w:r>
      <w:r>
        <w:rPr>
          <w:rFonts w:hint="eastAsia"/>
          <w:b/>
          <w:kern w:val="0"/>
          <w:szCs w:val="21"/>
        </w:rPr>
        <w:t>.资格审查标准</w:t>
      </w:r>
      <w:r>
        <w:rPr>
          <w:rFonts w:hint="eastAsia"/>
          <w:b/>
          <w:bCs/>
          <w:kern w:val="0"/>
          <w:szCs w:val="21"/>
        </w:rPr>
        <w:t>（不满足任何一项审查内容要求，资格审查即为不合格</w:t>
      </w:r>
      <w:bookmarkStart w:id="96" w:name="_Hlk160731834"/>
      <w:r>
        <w:rPr>
          <w:rFonts w:hint="eastAsia"/>
          <w:b/>
          <w:bCs/>
          <w:kern w:val="0"/>
          <w:szCs w:val="21"/>
        </w:rPr>
        <w:t>；联合体响应的，联合体各方均应提交第一项基本资格要求的资格证明文件</w:t>
      </w:r>
      <w:bookmarkEnd w:id="96"/>
      <w:r>
        <w:rPr>
          <w:rFonts w:hint="eastAsia"/>
          <w:b/>
          <w:bCs/>
          <w:kern w:val="0"/>
          <w:szCs w:val="21"/>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1"/>
        <w:gridCol w:w="1461"/>
        <w:gridCol w:w="1266"/>
        <w:gridCol w:w="5517"/>
      </w:tblGrid>
      <w:tr>
        <w:trPr>
          <w:trHeight w:val="316"/>
        </w:trPr>
        <w:tc>
          <w:tcPr>
            <w:tcW w:w="1101"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审查</w:t>
            </w:r>
            <w:r>
              <w:rPr>
                <w:b/>
                <w:kern w:val="0"/>
                <w:szCs w:val="21"/>
              </w:rPr>
              <w:t>因素</w:t>
            </w:r>
          </w:p>
        </w:tc>
        <w:tc>
          <w:tcPr>
            <w:tcW w:w="2727" w:type="dxa"/>
            <w:gridSpan w:val="2"/>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审查</w:t>
            </w:r>
            <w:r>
              <w:rPr>
                <w:b/>
                <w:kern w:val="0"/>
                <w:szCs w:val="21"/>
              </w:rPr>
              <w:t>内容</w:t>
            </w:r>
          </w:p>
        </w:tc>
        <w:tc>
          <w:tcPr>
            <w:tcW w:w="5517"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说明</w:t>
            </w:r>
          </w:p>
        </w:tc>
      </w:tr>
      <w:tr>
        <w:trPr>
          <w:cantSplit/>
          <w:trHeight w:val="820"/>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szCs w:val="21"/>
              </w:rPr>
              <w:t>供应商应符合的基本资格要求</w:t>
            </w: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rPr>
              <w:t>（1）具有独立承担民事责任的能力</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审查供应商为法人或者其他组织的，提供营业执照等证明文件（如营业执照或者事业单位法人证书或者执业许可证等），供应商为自然人的，提供身份证</w:t>
            </w:r>
            <w:r>
              <w:rPr>
                <w:rFonts w:hint="eastAsia"/>
                <w:szCs w:val="21"/>
                <w:lang w:eastAsia="zh-CN"/>
              </w:rPr>
              <w:t>复印件</w:t>
            </w:r>
            <w:r>
              <w:rPr>
                <w:rFonts w:hint="eastAsia"/>
                <w:szCs w:val="21"/>
              </w:rPr>
              <w:t>。</w:t>
            </w:r>
          </w:p>
        </w:tc>
      </w:tr>
      <w:tr>
        <w:trPr>
          <w:cantSplit/>
          <w:trHeight w:val="1541"/>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lang w:val="zh-CN"/>
              </w:rPr>
              <w:t>（2）</w:t>
            </w:r>
            <w:r>
              <w:rPr>
                <w:szCs w:val="21"/>
              </w:rPr>
              <w:t>具有良好的商业信誉和健全的财务会计制度</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ascii="宋体" w:cs="宋体" w:hint="eastAsia"/>
                <w:szCs w:val="21"/>
              </w:rPr>
              <w:t>①</w:t>
            </w:r>
            <w:r>
              <w:rPr>
                <w:szCs w:val="21"/>
              </w:rPr>
              <w:t>审查商业信誉声明。须提供，格式见第</w:t>
            </w:r>
            <w:r>
              <w:rPr>
                <w:rFonts w:hint="eastAsia"/>
                <w:szCs w:val="21"/>
              </w:rPr>
              <w:t>六章</w:t>
            </w:r>
            <w:r>
              <w:rPr>
                <w:szCs w:val="21"/>
              </w:rPr>
              <w:t>响应文件格式“响应声明书”。</w:t>
            </w:r>
          </w:p>
          <w:p>
            <w:pPr>
              <w:spacing w:line="240" w:lineRule="exact"/>
              <w:rPr>
                <w:szCs w:val="21"/>
              </w:rPr>
            </w:pPr>
            <w:r>
              <w:rPr>
                <w:rFonts w:ascii="宋体" w:cs="宋体" w:hint="eastAsia"/>
                <w:szCs w:val="21"/>
              </w:rPr>
              <w:t>②</w:t>
            </w:r>
            <w:r>
              <w:rPr>
                <w:szCs w:val="21"/>
              </w:rPr>
              <w:t>审查</w:t>
            </w:r>
            <w:r>
              <w:rPr>
                <w:rFonts w:hint="eastAsia"/>
                <w:szCs w:val="21"/>
              </w:rPr>
              <w:t>2024</w:t>
            </w:r>
            <w:r>
              <w:rPr>
                <w:szCs w:val="21"/>
              </w:rPr>
              <w:t>财务状况报告（表）</w:t>
            </w:r>
            <w:r>
              <w:rPr>
                <w:rFonts w:hint="eastAsia"/>
                <w:szCs w:val="21"/>
                <w:lang w:eastAsia="zh-CN"/>
              </w:rPr>
              <w:t>复印件</w:t>
            </w:r>
            <w:r>
              <w:rPr>
                <w:szCs w:val="21"/>
              </w:rPr>
              <w:t>或银行出具的资信证明</w:t>
            </w:r>
            <w:r>
              <w:rPr>
                <w:rFonts w:hint="eastAsia"/>
                <w:szCs w:val="21"/>
                <w:lang w:eastAsia="zh-CN"/>
              </w:rPr>
              <w:t>复印件</w:t>
            </w:r>
            <w:r>
              <w:rPr>
                <w:szCs w:val="21"/>
              </w:rPr>
              <w:t>。</w:t>
            </w:r>
            <w:r>
              <w:t>对于从取得营业执照时间起到响应文件递交截止时间为止不足1年的供应商，只需提交</w:t>
            </w:r>
            <w:r>
              <w:rPr>
                <w:szCs w:val="21"/>
              </w:rPr>
              <w:t>响应文件递交截止时间前一个月的财务状况报告（表）</w:t>
            </w:r>
            <w:r>
              <w:rPr>
                <w:rFonts w:hint="eastAsia"/>
                <w:szCs w:val="21"/>
                <w:lang w:eastAsia="zh-CN"/>
              </w:rPr>
              <w:t>复印件</w:t>
            </w:r>
            <w:r>
              <w:rPr>
                <w:szCs w:val="21"/>
              </w:rPr>
              <w:t>。</w:t>
            </w:r>
          </w:p>
        </w:tc>
      </w:tr>
      <w:tr>
        <w:trPr>
          <w:cantSplit/>
          <w:trHeight w:val="993"/>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（3）具有履行合同所必需的设备和专业技术能力</w:t>
            </w:r>
          </w:p>
        </w:tc>
        <w:tc>
          <w:tcPr>
            <w:tcW w:w="5517" w:type="dxa"/>
            <w:tcBorders>
              <w:top w:val="single" w:sz="4" w:space="0" w:color="auto"/>
              <w:left w:val="single" w:sz="4" w:space="0" w:color="auto"/>
              <w:right w:val="single" w:sz="4" w:space="0" w:color="auto"/>
            </w:tcBorders>
            <w:vAlign w:val="center"/>
          </w:tcPr>
          <w:p>
            <w:pPr>
              <w:spacing w:line="300" w:lineRule="exact"/>
              <w:rPr>
                <w:szCs w:val="21"/>
              </w:rPr>
            </w:pPr>
            <w:r>
              <w:rPr>
                <w:rFonts w:ascii="宋体" w:cs="宋体" w:hint="eastAsia"/>
                <w:szCs w:val="21"/>
              </w:rPr>
              <w:t>①</w:t>
            </w:r>
            <w:r>
              <w:rPr>
                <w:szCs w:val="21"/>
              </w:rPr>
              <w:t>提供拟投入施工机械设备证明材料、</w:t>
            </w:r>
            <w:r>
              <w:t>项目管理机构人员资格证件及在供应商单位依法缴纳社会保险的凭证等相关证明材料的</w:t>
            </w:r>
            <w:r>
              <w:rPr>
                <w:rFonts w:hint="eastAsia"/>
                <w:szCs w:val="21"/>
                <w:lang w:eastAsia="zh-CN"/>
              </w:rPr>
              <w:t>复印件</w:t>
            </w:r>
            <w:r>
              <w:t>。</w:t>
            </w:r>
          </w:p>
          <w:p>
            <w:pPr>
              <w:spacing w:line="240" w:lineRule="exact"/>
              <w:rPr>
                <w:szCs w:val="21"/>
              </w:rPr>
            </w:pPr>
            <w:r>
              <w:rPr>
                <w:rFonts w:ascii="宋体" w:cs="宋体" w:hint="eastAsia"/>
                <w:szCs w:val="21"/>
              </w:rPr>
              <w:t>②</w:t>
            </w:r>
            <w:r>
              <w:rPr>
                <w:szCs w:val="21"/>
              </w:rPr>
              <w:t>审查书面声明。须提供，格式见第</w:t>
            </w:r>
            <w:r>
              <w:rPr>
                <w:rFonts w:hint="eastAsia"/>
                <w:szCs w:val="21"/>
              </w:rPr>
              <w:t>六章</w:t>
            </w:r>
            <w:r>
              <w:rPr>
                <w:szCs w:val="21"/>
              </w:rPr>
              <w:t>响应文件格式“</w:t>
            </w:r>
            <w:r>
              <w:rPr>
                <w:rFonts w:hint="eastAsia"/>
                <w:szCs w:val="21"/>
              </w:rPr>
              <w:t>响应</w:t>
            </w:r>
            <w:r>
              <w:rPr>
                <w:szCs w:val="21"/>
              </w:rPr>
              <w:t>声明书”。</w:t>
            </w:r>
          </w:p>
          <w:p>
            <w:pPr>
              <w:spacing w:line="240" w:lineRule="exact"/>
              <w:rPr>
                <w:szCs w:val="21"/>
              </w:rPr>
            </w:pPr>
            <w:r>
              <w:rPr>
                <w:szCs w:val="21"/>
              </w:rPr>
              <w:t>审查</w:t>
            </w:r>
            <w:r>
              <w:rPr>
                <w:rFonts w:ascii="宋体" w:cs="宋体" w:hint="eastAsia"/>
                <w:szCs w:val="21"/>
              </w:rPr>
              <w:t>①</w:t>
            </w:r>
            <w:r>
              <w:rPr>
                <w:szCs w:val="21"/>
              </w:rPr>
              <w:t>或</w:t>
            </w:r>
            <w:r>
              <w:rPr>
                <w:rFonts w:ascii="宋体" w:cs="宋体" w:hint="eastAsia"/>
                <w:szCs w:val="21"/>
              </w:rPr>
              <w:t>②</w:t>
            </w:r>
            <w:r>
              <w:rPr>
                <w:szCs w:val="21"/>
              </w:rPr>
              <w:t>，满足其一，即为符合要求。</w:t>
            </w:r>
          </w:p>
        </w:tc>
      </w:tr>
      <w:tr>
        <w:trPr>
          <w:cantSplit/>
          <w:trHeight w:val="1986"/>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（4）有依法缴纳税收和社会保障金的良好记录</w:t>
            </w:r>
          </w:p>
        </w:tc>
        <w:tc>
          <w:tcPr>
            <w:tcW w:w="5517" w:type="dxa"/>
            <w:tcBorders>
              <w:top w:val="single" w:sz="4" w:space="0" w:color="auto"/>
              <w:left w:val="single" w:sz="4" w:space="0" w:color="auto"/>
              <w:right w:val="single" w:sz="4" w:space="0" w:color="auto"/>
            </w:tcBorders>
            <w:vAlign w:val="center"/>
          </w:tcPr>
          <w:p>
            <w:pPr>
              <w:spacing w:line="240" w:lineRule="exact"/>
              <w:jc w:val="left"/>
              <w:rPr>
                <w:szCs w:val="21"/>
              </w:rPr>
            </w:pPr>
            <w:r>
              <w:rPr>
                <w:rFonts w:ascii="宋体" w:cs="宋体" w:hint="eastAsia"/>
                <w:szCs w:val="21"/>
              </w:rPr>
              <w:t>①</w:t>
            </w:r>
            <w:r>
              <w:rPr>
                <w:szCs w:val="21"/>
              </w:rPr>
              <w:t>审查</w:t>
            </w:r>
            <w:r>
              <w:rPr>
                <w:rFonts w:hint="eastAsia"/>
                <w:szCs w:val="21"/>
              </w:rPr>
              <w:t>响应</w:t>
            </w:r>
            <w:r>
              <w:rPr>
                <w:szCs w:val="21"/>
              </w:rPr>
              <w:t>截止时间前6个月内，</w:t>
            </w:r>
            <w:r>
              <w:rPr>
                <w:rFonts w:hint="eastAsia"/>
              </w:rPr>
              <w:t>供应商</w:t>
            </w:r>
            <w:r>
              <w:t>任意</w:t>
            </w:r>
            <w:r>
              <w:rPr>
                <w:rFonts w:hint="eastAsia"/>
              </w:rPr>
              <w:t>1个月</w:t>
            </w:r>
            <w:r>
              <w:rPr>
                <w:szCs w:val="21"/>
              </w:rPr>
              <w:t>依法缴纳税费证明</w:t>
            </w:r>
            <w:r>
              <w:rPr>
                <w:rFonts w:hint="eastAsia"/>
                <w:szCs w:val="21"/>
                <w:lang w:eastAsia="zh-CN"/>
              </w:rPr>
              <w:t>复印件</w:t>
            </w:r>
            <w:r>
              <w:rPr>
                <w:szCs w:val="21"/>
              </w:rPr>
              <w:t>加盖供应商</w:t>
            </w:r>
            <w:r>
              <w:rPr>
                <w:rFonts w:hint="eastAsia"/>
                <w:szCs w:val="21"/>
              </w:rPr>
              <w:t>公章</w:t>
            </w:r>
            <w:r>
              <w:rPr>
                <w:szCs w:val="21"/>
              </w:rPr>
              <w:t>。</w:t>
            </w:r>
          </w:p>
          <w:p>
            <w:pPr>
              <w:spacing w:line="240" w:lineRule="exact"/>
              <w:jc w:val="left"/>
              <w:rPr>
                <w:szCs w:val="21"/>
              </w:rPr>
            </w:pPr>
            <w:r>
              <w:rPr>
                <w:rFonts w:ascii="宋体" w:cs="宋体" w:hint="eastAsia"/>
                <w:szCs w:val="21"/>
              </w:rPr>
              <w:t>②</w:t>
            </w:r>
            <w:r>
              <w:rPr>
                <w:szCs w:val="21"/>
              </w:rPr>
              <w:t>审查</w:t>
            </w:r>
            <w:r>
              <w:rPr>
                <w:rFonts w:hint="eastAsia"/>
                <w:szCs w:val="21"/>
              </w:rPr>
              <w:t>响应</w:t>
            </w:r>
            <w:r>
              <w:rPr>
                <w:szCs w:val="21"/>
              </w:rPr>
              <w:t>截止时间前6个月内，</w:t>
            </w:r>
            <w:r>
              <w:rPr>
                <w:rFonts w:hint="eastAsia"/>
              </w:rPr>
              <w:t>供应商</w:t>
            </w:r>
            <w:r>
              <w:t>任意</w:t>
            </w:r>
            <w:r>
              <w:rPr>
                <w:rFonts w:hint="eastAsia"/>
              </w:rPr>
              <w:t>1个月</w:t>
            </w:r>
            <w:r>
              <w:rPr>
                <w:szCs w:val="21"/>
              </w:rPr>
              <w:t>的社保缴费证明记录</w:t>
            </w:r>
            <w:r>
              <w:rPr>
                <w:rFonts w:hint="eastAsia"/>
                <w:szCs w:val="21"/>
                <w:lang w:eastAsia="zh-CN"/>
              </w:rPr>
              <w:t>复印件</w:t>
            </w:r>
            <w:r>
              <w:rPr>
                <w:szCs w:val="21"/>
              </w:rPr>
              <w:t>加盖供应商</w:t>
            </w:r>
            <w:r>
              <w:rPr>
                <w:rFonts w:hint="eastAsia"/>
                <w:szCs w:val="21"/>
              </w:rPr>
              <w:t>公章</w:t>
            </w:r>
            <w:r>
              <w:rPr>
                <w:szCs w:val="21"/>
              </w:rPr>
              <w:t>。</w:t>
            </w:r>
          </w:p>
          <w:p>
            <w:pPr>
              <w:spacing w:line="240" w:lineRule="exact"/>
              <w:jc w:val="left"/>
              <w:rPr>
                <w:szCs w:val="21"/>
              </w:rPr>
            </w:pPr>
            <w:r>
              <w:rPr>
                <w:szCs w:val="21"/>
              </w:rPr>
              <w:t>供应商成立不足</w:t>
            </w:r>
            <w:r>
              <w:rPr>
                <w:rFonts w:hint="eastAsia"/>
                <w:szCs w:val="21"/>
              </w:rPr>
              <w:t>1个月的，无须提供</w:t>
            </w:r>
            <w:r>
              <w:rPr>
                <w:szCs w:val="21"/>
              </w:rPr>
              <w:t>缴纳税费证明及社保缴费证明加盖供应商公章</w:t>
            </w:r>
            <w:r>
              <w:rPr>
                <w:rFonts w:hint="eastAsia"/>
                <w:szCs w:val="21"/>
              </w:rPr>
              <w:t>。</w:t>
            </w:r>
          </w:p>
          <w:p>
            <w:pPr>
              <w:spacing w:line="240" w:lineRule="exact"/>
              <w:rPr>
                <w:szCs w:val="21"/>
              </w:rPr>
            </w:pPr>
            <w:r>
              <w:rPr>
                <w:szCs w:val="21"/>
              </w:rPr>
              <w:t>依法免税或不需要缴纳社会保障资金的供应商，须提供相应文件证明其依法免税或不需要缴纳社会保障资金。</w:t>
            </w:r>
          </w:p>
        </w:tc>
      </w:tr>
      <w:tr>
        <w:trPr>
          <w:cantSplit/>
          <w:trHeight w:val="1057"/>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lang w:val="zh-CN"/>
              </w:rPr>
            </w:pPr>
            <w:r>
              <w:rPr>
                <w:szCs w:val="21"/>
              </w:rPr>
              <w:t>（5）参加政府采购活动前三年内，在经营活动中没有重大违法记录</w:t>
            </w:r>
          </w:p>
        </w:tc>
        <w:tc>
          <w:tcPr>
            <w:tcW w:w="5517" w:type="dxa"/>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审查无重大违法记录声明。须提供，格式见第</w:t>
            </w:r>
            <w:r>
              <w:rPr>
                <w:rFonts w:hint="eastAsia"/>
                <w:szCs w:val="21"/>
              </w:rPr>
              <w:t>六章</w:t>
            </w:r>
            <w:r>
              <w:rPr>
                <w:szCs w:val="21"/>
              </w:rPr>
              <w:t xml:space="preserve">响应文件格式“响应声明书”。 </w:t>
            </w:r>
          </w:p>
        </w:tc>
      </w:tr>
      <w:tr>
        <w:trPr>
          <w:cantSplit/>
          <w:trHeight w:val="571"/>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rPr>
              <w:t>（6）具备法律、行政法规规定的其他要求</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无。</w:t>
            </w:r>
          </w:p>
        </w:tc>
      </w:tr>
      <w:tr>
        <w:trPr>
          <w:cantSplit/>
          <w:trHeight w:val="571"/>
        </w:trPr>
        <w:tc>
          <w:tcPr>
            <w:tcW w:w="1101" w:type="dxa"/>
            <w:tcBorders>
              <w:top w:val="single" w:sz="4" w:space="0" w:color="auto"/>
              <w:left w:val="single" w:sz="4" w:space="0" w:color="auto"/>
              <w:right w:val="single" w:sz="4" w:space="0" w:color="auto"/>
            </w:tcBorders>
            <w:vAlign w:val="center"/>
          </w:tcPr>
          <w:p>
            <w:pPr>
              <w:spacing w:line="240" w:lineRule="exact"/>
              <w:rPr>
                <w:szCs w:val="21"/>
                <w:lang w:val="zh-CN"/>
              </w:rPr>
            </w:pPr>
            <w:r>
              <w:rPr>
                <w:rFonts w:hint="eastAsia"/>
                <w:kern w:val="0"/>
                <w:szCs w:val="21"/>
              </w:rPr>
              <w:t>采购政策</w:t>
            </w: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落实政府采购政策需满足的资格要求</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无</w:t>
            </w:r>
          </w:p>
        </w:tc>
      </w:tr>
      <w:tr>
        <w:trPr>
          <w:cantSplit/>
          <w:trHeight w:val="397"/>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szCs w:val="21"/>
                <w:lang w:val="zh-CN"/>
              </w:rPr>
              <w:t>供应商应符合的</w:t>
            </w:r>
            <w:r>
              <w:rPr>
                <w:szCs w:val="21"/>
              </w:rPr>
              <w:t>特定资格条件</w:t>
            </w: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（1）资质</w:t>
            </w:r>
            <w:r>
              <w:rPr>
                <w:rFonts w:hint="eastAsia"/>
                <w:szCs w:val="21"/>
              </w:rPr>
              <w:t>要求</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w:t>
            </w:r>
          </w:p>
        </w:tc>
      </w:tr>
      <w:tr>
        <w:trPr>
          <w:cantSplit/>
          <w:trHeight w:val="910"/>
        </w:trPr>
        <w:tc>
          <w:tcPr>
            <w:tcW w:w="1101" w:type="dxa"/>
            <w:vMerge/>
            <w:tcBorders>
              <w:top w:val="single" w:sz="4" w:space="0" w:color="auto"/>
              <w:left w:val="single" w:sz="4" w:space="0" w:color="auto"/>
              <w:right w:val="single" w:sz="4" w:space="0" w:color="auto"/>
            </w:tcBorders>
            <w:vAlign w:val="center"/>
          </w:tcPr>
          <w:p/>
        </w:tc>
        <w:tc>
          <w:tcPr>
            <w:tcW w:w="1461" w:type="dxa"/>
            <w:vMerge w:val="restart"/>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（2）人员要求</w:t>
            </w:r>
          </w:p>
        </w:tc>
        <w:tc>
          <w:tcPr>
            <w:tcW w:w="1266" w:type="dxa"/>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项目经理</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。须提供在响应文件递交</w:t>
            </w:r>
            <w:r>
              <w:rPr>
                <w:szCs w:val="21"/>
              </w:rPr>
              <w:t>截止时间前6个月内</w:t>
            </w:r>
            <w:r>
              <w:rPr>
                <w:rFonts w:hint="eastAsia"/>
                <w:szCs w:val="21"/>
              </w:rPr>
              <w:t>任意1</w:t>
            </w:r>
            <w:r>
              <w:rPr>
                <w:szCs w:val="21"/>
              </w:rPr>
              <w:t>个月在现任职单位依法缴纳社会保险的</w:t>
            </w:r>
            <w:r>
              <w:rPr>
                <w:rFonts w:hint="eastAsia"/>
                <w:szCs w:val="21"/>
              </w:rPr>
              <w:t>证明材料</w:t>
            </w:r>
            <w:r>
              <w:rPr>
                <w:rFonts w:hint="eastAsia"/>
                <w:szCs w:val="21"/>
                <w:lang w:eastAsia="zh-CN"/>
              </w:rPr>
              <w:t>复印件</w:t>
            </w:r>
            <w:r>
              <w:rPr>
                <w:rFonts w:hint="eastAsia"/>
                <w:szCs w:val="21"/>
              </w:rPr>
              <w:t>。</w:t>
            </w:r>
          </w:p>
        </w:tc>
      </w:tr>
      <w:tr>
        <w:trPr>
          <w:cantSplit/>
          <w:trHeight w:val="851"/>
        </w:trPr>
        <w:tc>
          <w:tcPr>
            <w:tcW w:w="1101" w:type="dxa"/>
            <w:vMerge/>
            <w:tcBorders>
              <w:top w:val="single" w:sz="4" w:space="0" w:color="auto"/>
              <w:left w:val="single" w:sz="4" w:space="0" w:color="auto"/>
              <w:right w:val="single" w:sz="4" w:space="0" w:color="auto"/>
            </w:tcBorders>
            <w:vAlign w:val="center"/>
          </w:tcPr>
          <w:p/>
        </w:tc>
        <w:tc>
          <w:tcPr>
            <w:tcW w:w="1461" w:type="dxa"/>
            <w:vMerge/>
            <w:tcBorders>
              <w:top w:val="single" w:sz="4" w:space="0" w:color="auto"/>
              <w:left w:val="single" w:sz="4" w:space="0" w:color="auto"/>
              <w:right w:val="single" w:sz="4" w:space="0" w:color="auto"/>
            </w:tcBorders>
          </w:tcPr>
          <w:p/>
        </w:tc>
        <w:tc>
          <w:tcPr>
            <w:tcW w:w="1266" w:type="dxa"/>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技术负责人</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。须提供在响应文件递交</w:t>
            </w:r>
            <w:r>
              <w:rPr>
                <w:szCs w:val="21"/>
              </w:rPr>
              <w:t>截止时间前6个月内</w:t>
            </w:r>
            <w:r>
              <w:rPr>
                <w:rFonts w:hint="eastAsia"/>
                <w:szCs w:val="21"/>
              </w:rPr>
              <w:t>任意1</w:t>
            </w:r>
            <w:r>
              <w:rPr>
                <w:szCs w:val="21"/>
              </w:rPr>
              <w:t>个月在现任职单位依法缴纳社会保险的</w:t>
            </w:r>
            <w:r>
              <w:rPr>
                <w:rFonts w:hint="eastAsia"/>
                <w:szCs w:val="21"/>
              </w:rPr>
              <w:t>证明材料</w:t>
            </w:r>
            <w:r>
              <w:rPr>
                <w:rFonts w:hint="eastAsia"/>
                <w:szCs w:val="21"/>
                <w:lang w:eastAsia="zh-CN"/>
              </w:rPr>
              <w:t>复印件</w:t>
            </w:r>
            <w:r>
              <w:rPr>
                <w:rFonts w:hint="eastAsia"/>
                <w:szCs w:val="21"/>
              </w:rPr>
              <w:t>。</w:t>
            </w:r>
          </w:p>
        </w:tc>
      </w:tr>
      <w:tr>
        <w:trPr>
          <w:trHeight w:val="848"/>
        </w:trPr>
        <w:tc>
          <w:tcPr>
            <w:tcW w:w="1101" w:type="dxa"/>
            <w:vMerge/>
            <w:tcBorders>
              <w:top w:val="single" w:sz="4" w:space="0" w:color="auto"/>
              <w:left w:val="single" w:sz="4" w:space="0" w:color="auto"/>
              <w:right w:val="single" w:sz="4" w:space="0" w:color="auto"/>
            </w:tcBorders>
            <w:vAlign w:val="center"/>
          </w:tcPr>
          <w:p/>
        </w:tc>
        <w:tc>
          <w:tcPr>
            <w:tcW w:w="1461" w:type="dxa"/>
            <w:vMerge/>
            <w:tcBorders>
              <w:top w:val="single" w:sz="4" w:space="0" w:color="auto"/>
              <w:left w:val="single" w:sz="4" w:space="0" w:color="auto"/>
              <w:right w:val="single" w:sz="4" w:space="0" w:color="auto"/>
            </w:tcBorders>
          </w:tcPr>
          <w:p/>
        </w:tc>
        <w:tc>
          <w:tcPr>
            <w:tcW w:w="1266" w:type="dxa"/>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专职安全员</w:t>
            </w:r>
          </w:p>
        </w:tc>
        <w:tc>
          <w:tcPr>
            <w:tcW w:w="5517" w:type="dxa"/>
            <w:tcBorders>
              <w:top w:val="single" w:sz="4" w:space="0" w:color="auto"/>
              <w:left w:val="single" w:sz="4" w:space="0" w:color="auto"/>
              <w:right w:val="single" w:sz="4" w:space="0" w:color="auto"/>
            </w:tcBorders>
            <w:vAlign w:val="center"/>
          </w:tcPr>
          <w:p>
            <w:pPr>
              <w:spacing w:line="240" w:lineRule="exact"/>
              <w:rPr>
                <w:szCs w:val="21"/>
              </w:rPr>
            </w:pPr>
            <w:r>
              <w:rPr>
                <w:szCs w:val="21"/>
              </w:rPr>
              <w:t>须符合</w:t>
            </w:r>
            <w:r>
              <w:rPr>
                <w:rFonts w:hint="eastAsia"/>
                <w:szCs w:val="21"/>
              </w:rPr>
              <w:t>“磋商公告”</w:t>
            </w:r>
            <w:r>
              <w:rPr>
                <w:szCs w:val="21"/>
              </w:rPr>
              <w:t>要求</w:t>
            </w:r>
            <w:r>
              <w:rPr>
                <w:rFonts w:hint="eastAsia"/>
                <w:szCs w:val="21"/>
              </w:rPr>
              <w:t>。须提供在响应文件递交</w:t>
            </w:r>
            <w:r>
              <w:rPr>
                <w:szCs w:val="21"/>
              </w:rPr>
              <w:t>截止时间前6个月内</w:t>
            </w:r>
            <w:r>
              <w:rPr>
                <w:rFonts w:hint="eastAsia"/>
                <w:szCs w:val="21"/>
              </w:rPr>
              <w:t>任意1</w:t>
            </w:r>
            <w:r>
              <w:rPr>
                <w:szCs w:val="21"/>
              </w:rPr>
              <w:t>个月在现任职单位依法缴纳社会保险的</w:t>
            </w:r>
            <w:r>
              <w:rPr>
                <w:rFonts w:hint="eastAsia"/>
                <w:szCs w:val="21"/>
              </w:rPr>
              <w:t>证明材料</w:t>
            </w:r>
            <w:r>
              <w:rPr>
                <w:rFonts w:hint="eastAsia"/>
                <w:szCs w:val="21"/>
                <w:lang w:eastAsia="zh-CN"/>
              </w:rPr>
              <w:t>复印件</w:t>
            </w:r>
            <w:r>
              <w:rPr>
                <w:rFonts w:hint="eastAsia"/>
                <w:szCs w:val="21"/>
              </w:rPr>
              <w:t>。</w:t>
            </w:r>
          </w:p>
        </w:tc>
      </w:tr>
      <w:tr>
        <w:trPr>
          <w:cantSplit/>
          <w:trHeight w:val="397"/>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（3）业绩要求</w:t>
            </w:r>
          </w:p>
        </w:tc>
        <w:tc>
          <w:tcPr>
            <w:tcW w:w="5517" w:type="dxa"/>
            <w:tcBorders>
              <w:top w:val="single" w:sz="4" w:space="0" w:color="auto"/>
              <w:left w:val="single" w:sz="4" w:space="0" w:color="auto"/>
              <w:right w:val="single" w:sz="4" w:space="0" w:color="auto"/>
            </w:tcBorders>
            <w:vAlign w:val="center"/>
          </w:tcPr>
          <w:p>
            <w:pPr>
              <w:spacing w:line="240" w:lineRule="exact"/>
              <w:jc w:val="left"/>
              <w:rPr>
                <w:szCs w:val="21"/>
              </w:rPr>
            </w:pPr>
            <w:r>
              <w:rPr>
                <w:szCs w:val="21"/>
              </w:rPr>
              <w:t>须符合</w:t>
            </w:r>
            <w:r>
              <w:rPr>
                <w:rFonts w:hint="eastAsia"/>
                <w:szCs w:val="21"/>
              </w:rPr>
              <w:t>“磋商公告”</w:t>
            </w:r>
            <w:r>
              <w:rPr>
                <w:szCs w:val="21"/>
              </w:rPr>
              <w:t>要求</w:t>
            </w:r>
            <w:r>
              <w:rPr>
                <w:rFonts w:hint="eastAsia"/>
                <w:szCs w:val="21"/>
              </w:rPr>
              <w:t>。</w:t>
            </w:r>
          </w:p>
        </w:tc>
      </w:tr>
      <w:tr>
        <w:trPr>
          <w:cantSplit/>
          <w:trHeight w:val="1564"/>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kern w:val="0"/>
                <w:szCs w:val="21"/>
              </w:rPr>
              <w:t>（4）</w:t>
            </w:r>
            <w:r>
              <w:rPr>
                <w:rFonts w:hint="eastAsia"/>
                <w:kern w:val="0"/>
                <w:szCs w:val="21"/>
              </w:rPr>
              <w:t>供应商不得参加响应的情形</w:t>
            </w:r>
          </w:p>
        </w:tc>
        <w:tc>
          <w:tcPr>
            <w:tcW w:w="5517" w:type="dxa"/>
            <w:tcBorders>
              <w:top w:val="single" w:sz="4" w:space="0" w:color="auto"/>
              <w:left w:val="single" w:sz="4" w:space="0" w:color="auto"/>
              <w:right w:val="single" w:sz="4" w:space="0" w:color="auto"/>
            </w:tcBorders>
            <w:vAlign w:val="center"/>
          </w:tcPr>
          <w:p>
            <w:pPr>
              <w:spacing w:line="240" w:lineRule="exact"/>
              <w:jc w:val="left"/>
              <w:rPr>
                <w:kern w:val="0"/>
                <w:szCs w:val="21"/>
              </w:rPr>
            </w:pPr>
            <w:r>
              <w:rPr>
                <w:kern w:val="0"/>
                <w:szCs w:val="21"/>
              </w:rPr>
              <w:t>单位负责人为同一人或者存在直接控股、管理关系的不同供应商，不得参加本项目同一合同项下的政府采购活动。为本项目提供整体设计、规范编制或者项目管理、监理、检测等服务的供应商，不得再参加</w:t>
            </w:r>
            <w:r>
              <w:rPr>
                <w:rFonts w:hint="eastAsia"/>
                <w:kern w:val="0"/>
                <w:szCs w:val="21"/>
              </w:rPr>
              <w:t>本</w:t>
            </w:r>
            <w:r>
              <w:rPr>
                <w:kern w:val="0"/>
                <w:szCs w:val="21"/>
              </w:rPr>
              <w:t>项目的采购活动。</w:t>
            </w:r>
          </w:p>
          <w:p>
            <w:pPr>
              <w:spacing w:line="240" w:lineRule="exact"/>
              <w:jc w:val="left"/>
              <w:rPr>
                <w:szCs w:val="21"/>
              </w:rPr>
            </w:pPr>
            <w:r>
              <w:rPr>
                <w:szCs w:val="21"/>
              </w:rPr>
              <w:t>须提供，格式见第六章</w:t>
            </w:r>
            <w:r>
              <w:rPr>
                <w:rFonts w:hint="eastAsia"/>
                <w:szCs w:val="21"/>
              </w:rPr>
              <w:t>响应</w:t>
            </w:r>
            <w:r>
              <w:rPr>
                <w:szCs w:val="21"/>
              </w:rPr>
              <w:t>文件格式“</w:t>
            </w:r>
            <w:r>
              <w:rPr>
                <w:rFonts w:hint="eastAsia"/>
                <w:szCs w:val="21"/>
              </w:rPr>
              <w:t>供应商直接控股股东、管理关系信息表</w:t>
            </w:r>
            <w:r>
              <w:rPr>
                <w:szCs w:val="21"/>
              </w:rPr>
              <w:t>”。</w:t>
            </w:r>
          </w:p>
        </w:tc>
      </w:tr>
      <w:tr>
        <w:trPr>
          <w:cantSplit/>
          <w:trHeight w:val="54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rPr>
                <w:szCs w:val="21"/>
              </w:rPr>
            </w:pPr>
            <w:r>
              <w:rPr>
                <w:szCs w:val="21"/>
              </w:rPr>
              <w:t>（5）诚信要求</w:t>
            </w:r>
          </w:p>
        </w:tc>
        <w:tc>
          <w:tcPr>
            <w:tcW w:w="5517" w:type="dxa"/>
            <w:tcBorders>
              <w:top w:val="single" w:sz="4" w:space="0" w:color="auto"/>
              <w:left w:val="single" w:sz="4" w:space="0" w:color="auto"/>
              <w:right w:val="single" w:sz="4" w:space="0" w:color="auto"/>
            </w:tcBorders>
          </w:tcPr>
          <w:p>
            <w:pPr>
              <w:spacing w:line="240" w:lineRule="exact"/>
              <w:jc w:val="left"/>
              <w:rPr>
                <w:szCs w:val="21"/>
              </w:rPr>
            </w:pPr>
            <w:r>
              <w:rPr>
                <w:rFonts w:hint="eastAsia"/>
                <w:szCs w:val="21"/>
              </w:rPr>
              <w:t>未被列入失信被执行人、</w:t>
            </w:r>
            <w:r>
              <w:rPr>
                <w:kern w:val="0"/>
                <w:szCs w:val="21"/>
              </w:rPr>
              <w:t>重大税收违法失信主体</w:t>
            </w:r>
            <w:r>
              <w:rPr>
                <w:szCs w:val="21"/>
              </w:rPr>
              <w:t>、政府采购严重违法失信行为记录名单</w:t>
            </w:r>
            <w:r>
              <w:rPr>
                <w:rFonts w:hint="eastAsia"/>
                <w:szCs w:val="21"/>
              </w:rPr>
              <w:t>。</w:t>
            </w:r>
          </w:p>
        </w:tc>
      </w:tr>
      <w:tr>
        <w:trPr>
          <w:cantSplit/>
          <w:trHeight w:val="54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w:t>
            </w:r>
            <w:r>
              <w:t>6</w:t>
            </w:r>
            <w:r>
              <w:rPr>
                <w:rFonts w:hint="eastAsia"/>
              </w:rPr>
              <w:t>）分包</w:t>
            </w:r>
          </w:p>
        </w:tc>
        <w:tc>
          <w:tcPr>
            <w:tcW w:w="5517" w:type="dxa"/>
            <w:tcBorders>
              <w:top w:val="single" w:sz="4" w:space="0" w:color="auto"/>
              <w:left w:val="single" w:sz="4" w:space="0" w:color="auto"/>
              <w:right w:val="single" w:sz="4" w:space="0" w:color="auto"/>
            </w:tcBorders>
            <w:vAlign w:val="center"/>
          </w:tcPr>
          <w:p>
            <w:r>
              <w:rPr>
                <w:rFonts w:hint="eastAsia"/>
              </w:rPr>
              <w:t>须符合“</w:t>
            </w:r>
            <w:r>
              <w:rPr>
                <w:rFonts w:hint="eastAsia"/>
                <w:szCs w:val="21"/>
              </w:rPr>
              <w:t>磋商公告</w:t>
            </w:r>
            <w:r>
              <w:rPr>
                <w:rFonts w:hint="eastAsia"/>
              </w:rPr>
              <w:t>”的要求</w:t>
            </w:r>
          </w:p>
        </w:tc>
      </w:tr>
      <w:tr>
        <w:trPr>
          <w:cantSplit/>
          <w:trHeight w:val="54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w:t>
            </w:r>
            <w:r>
              <w:t>7</w:t>
            </w:r>
            <w:r>
              <w:rPr>
                <w:rFonts w:hint="eastAsia"/>
              </w:rPr>
              <w:t>）联合体</w:t>
            </w:r>
          </w:p>
        </w:tc>
        <w:tc>
          <w:tcPr>
            <w:tcW w:w="5517" w:type="dxa"/>
            <w:tcBorders>
              <w:top w:val="single" w:sz="4" w:space="0" w:color="auto"/>
              <w:left w:val="single" w:sz="4" w:space="0" w:color="auto"/>
              <w:right w:val="single" w:sz="4" w:space="0" w:color="auto"/>
            </w:tcBorders>
            <w:vAlign w:val="center"/>
          </w:tcPr>
          <w:p>
            <w:r>
              <w:rPr>
                <w:rFonts w:hint="eastAsia"/>
              </w:rPr>
              <w:t>须符合“</w:t>
            </w:r>
            <w:r>
              <w:rPr>
                <w:rFonts w:hint="eastAsia"/>
                <w:szCs w:val="21"/>
              </w:rPr>
              <w:t>磋商公告</w:t>
            </w:r>
            <w:r>
              <w:rPr>
                <w:rFonts w:hint="eastAsia"/>
              </w:rPr>
              <w:t>”的要求</w:t>
            </w:r>
          </w:p>
        </w:tc>
      </w:tr>
      <w:tr>
        <w:trPr>
          <w:cantSplit/>
          <w:trHeight w:val="468"/>
        </w:trPr>
        <w:tc>
          <w:tcPr>
            <w:tcW w:w="1101" w:type="dxa"/>
            <w:vMerge/>
            <w:tcBorders>
              <w:top w:val="single" w:sz="4" w:space="0" w:color="auto"/>
              <w:left w:val="single" w:sz="4" w:space="0" w:color="auto"/>
              <w:right w:val="single" w:sz="4" w:space="0" w:color="auto"/>
            </w:tcBorders>
            <w:vAlign w:val="center"/>
          </w:tcPr>
          <w:p/>
        </w:tc>
        <w:tc>
          <w:tcPr>
            <w:tcW w:w="2727" w:type="dxa"/>
            <w:gridSpan w:val="2"/>
            <w:tcBorders>
              <w:top w:val="single" w:sz="4" w:space="0" w:color="auto"/>
              <w:left w:val="single" w:sz="4" w:space="0" w:color="auto"/>
              <w:right w:val="single" w:sz="4" w:space="0" w:color="auto"/>
            </w:tcBorders>
            <w:vAlign w:val="center"/>
          </w:tcPr>
          <w:p>
            <w:pPr>
              <w:spacing w:line="240" w:lineRule="exact"/>
              <w:jc w:val="left"/>
              <w:rPr>
                <w:szCs w:val="21"/>
              </w:rPr>
            </w:pPr>
            <w:r>
              <w:rPr>
                <w:rFonts w:hint="eastAsia"/>
                <w:szCs w:val="21"/>
              </w:rPr>
              <w:t>（</w:t>
            </w:r>
            <w:r>
              <w:rPr>
                <w:szCs w:val="21"/>
              </w:rPr>
              <w:t>8</w:t>
            </w:r>
            <w:r>
              <w:rPr>
                <w:rFonts w:hint="eastAsia"/>
                <w:szCs w:val="21"/>
              </w:rPr>
              <w:t>）其他要求</w:t>
            </w:r>
          </w:p>
        </w:tc>
        <w:tc>
          <w:tcPr>
            <w:tcW w:w="5517" w:type="dxa"/>
            <w:tcBorders>
              <w:top w:val="single" w:sz="4" w:space="0" w:color="auto"/>
              <w:left w:val="single" w:sz="4" w:space="0" w:color="auto"/>
              <w:right w:val="single" w:sz="4" w:space="0" w:color="auto"/>
            </w:tcBorders>
            <w:vAlign w:val="center"/>
          </w:tcPr>
          <w:p>
            <w:pPr>
              <w:spacing w:line="312" w:lineRule="auto"/>
              <w:rPr>
                <w:kern w:val="0"/>
                <w:szCs w:val="21"/>
              </w:rPr>
            </w:pPr>
            <w:r>
              <w:rPr>
                <w:rFonts w:hint="eastAsia"/>
                <w:kern w:val="0"/>
                <w:szCs w:val="21"/>
              </w:rPr>
              <w:t>按</w:t>
            </w:r>
            <w:r>
              <w:rPr>
                <w:kern w:val="0"/>
                <w:szCs w:val="21"/>
              </w:rPr>
              <w:t>照</w:t>
            </w:r>
            <w:r>
              <w:rPr>
                <w:rFonts w:hint="eastAsia"/>
                <w:kern w:val="0"/>
                <w:szCs w:val="21"/>
              </w:rPr>
              <w:t>磋商</w:t>
            </w:r>
            <w:r>
              <w:rPr>
                <w:kern w:val="0"/>
                <w:szCs w:val="21"/>
              </w:rPr>
              <w:t>公告规定获得</w:t>
            </w:r>
            <w:r>
              <w:rPr>
                <w:rFonts w:hint="eastAsia"/>
                <w:kern w:val="0"/>
                <w:szCs w:val="21"/>
              </w:rPr>
              <w:t>采购</w:t>
            </w:r>
            <w:r>
              <w:rPr>
                <w:kern w:val="0"/>
                <w:szCs w:val="21"/>
              </w:rPr>
              <w:t>文件。</w:t>
            </w:r>
            <w:r>
              <w:rPr>
                <w:rFonts w:hint="eastAsia"/>
                <w:kern w:val="0"/>
                <w:szCs w:val="21"/>
              </w:rPr>
              <w:t>足额、及时缴纳磋商保证金。</w:t>
            </w:r>
          </w:p>
        </w:tc>
      </w:tr>
    </w:tbl>
    <w:p>
      <w:pPr>
        <w:spacing w:before="120" w:line="320" w:lineRule="atLeast"/>
        <w:ind w:firstLineChars="196" w:firstLine="412"/>
        <w:outlineLvl w:val="1"/>
        <w:rPr>
          <w:szCs w:val="21"/>
        </w:rPr>
      </w:pPr>
      <w:r>
        <w:rPr>
          <w:b/>
          <w:bCs/>
          <w:kern w:val="0"/>
          <w:szCs w:val="21"/>
        </w:rPr>
        <w:t>3</w:t>
      </w:r>
      <w:r>
        <w:rPr>
          <w:rFonts w:hint="eastAsia"/>
          <w:b/>
          <w:bCs/>
          <w:kern w:val="0"/>
          <w:szCs w:val="21"/>
        </w:rPr>
        <w:t>.</w:t>
      </w:r>
      <w:r>
        <w:rPr>
          <w:b/>
          <w:bCs/>
          <w:kern w:val="0"/>
          <w:szCs w:val="21"/>
        </w:rPr>
        <w:t>符合性审查</w:t>
      </w:r>
      <w:r>
        <w:rPr>
          <w:rFonts w:hint="eastAsia"/>
          <w:b/>
          <w:bCs/>
          <w:kern w:val="0"/>
          <w:szCs w:val="21"/>
        </w:rPr>
        <w:t>标准（不满足任何一项审查内容要求，符合性审查即为不合格）</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1"/>
        <w:gridCol w:w="2693"/>
        <w:gridCol w:w="5777"/>
      </w:tblGrid>
      <w:tr>
        <w:trPr>
          <w:trHeight w:val="321"/>
        </w:trPr>
        <w:tc>
          <w:tcPr>
            <w:tcW w:w="1101" w:type="dxa"/>
            <w:tcBorders>
              <w:left w:val="single" w:sz="4" w:space="0" w:color="auto"/>
              <w:right w:val="single" w:sz="4" w:space="0" w:color="auto"/>
            </w:tcBorders>
            <w:vAlign w:val="center"/>
          </w:tcPr>
          <w:p>
            <w:pPr>
              <w:spacing w:line="240" w:lineRule="exact"/>
              <w:jc w:val="center"/>
              <w:rPr>
                <w:b/>
                <w:kern w:val="0"/>
                <w:szCs w:val="21"/>
              </w:rPr>
            </w:pPr>
            <w:bookmarkEnd w:id="94"/>
            <w:bookmarkEnd w:id="95"/>
            <w:r>
              <w:rPr>
                <w:rFonts w:hint="eastAsia"/>
                <w:b/>
                <w:kern w:val="0"/>
                <w:szCs w:val="21"/>
              </w:rPr>
              <w:t>审查</w:t>
            </w:r>
            <w:r>
              <w:rPr>
                <w:b/>
                <w:kern w:val="0"/>
                <w:szCs w:val="21"/>
              </w:rPr>
              <w:t>因素</w:t>
            </w:r>
          </w:p>
        </w:tc>
        <w:tc>
          <w:tcPr>
            <w:tcW w:w="2693"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审查内容</w:t>
            </w:r>
          </w:p>
        </w:tc>
        <w:tc>
          <w:tcPr>
            <w:tcW w:w="5777" w:type="dxa"/>
            <w:tcBorders>
              <w:left w:val="single" w:sz="4" w:space="0" w:color="auto"/>
              <w:right w:val="single" w:sz="4" w:space="0" w:color="auto"/>
            </w:tcBorders>
            <w:vAlign w:val="center"/>
          </w:tcPr>
          <w:p>
            <w:pPr>
              <w:spacing w:line="240" w:lineRule="exact"/>
              <w:jc w:val="center"/>
              <w:rPr>
                <w:b/>
                <w:kern w:val="0"/>
                <w:szCs w:val="21"/>
              </w:rPr>
            </w:pPr>
            <w:r>
              <w:rPr>
                <w:rFonts w:hint="eastAsia"/>
                <w:b/>
                <w:kern w:val="0"/>
                <w:szCs w:val="21"/>
              </w:rPr>
              <w:t>说明</w:t>
            </w:r>
          </w:p>
        </w:tc>
      </w:tr>
      <w:tr>
        <w:trPr>
          <w:trHeight w:val="1126"/>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kern w:val="0"/>
                <w:szCs w:val="21"/>
              </w:rPr>
              <w:t>商务资信</w:t>
            </w:r>
          </w:p>
        </w:tc>
        <w:tc>
          <w:tcPr>
            <w:tcW w:w="2693" w:type="dxa"/>
            <w:tcBorders>
              <w:top w:val="single" w:sz="4" w:space="0" w:color="auto"/>
              <w:left w:val="single" w:sz="4" w:space="0" w:color="auto"/>
              <w:right w:val="single" w:sz="4" w:space="0" w:color="auto"/>
            </w:tcBorders>
            <w:vAlign w:val="center"/>
          </w:tcPr>
          <w:p>
            <w:pPr>
              <w:spacing w:line="240" w:lineRule="exact"/>
            </w:pPr>
            <w:r>
              <w:rPr>
                <w:rFonts w:hint="eastAsia"/>
              </w:rPr>
              <w:t>法定代表人身份证明及授权委托书</w:t>
            </w:r>
          </w:p>
        </w:tc>
        <w:tc>
          <w:tcPr>
            <w:tcW w:w="5777"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授权</w:t>
            </w:r>
            <w:r>
              <w:rPr>
                <w:szCs w:val="21"/>
              </w:rPr>
              <w:t>代表</w:t>
            </w:r>
            <w:r>
              <w:rPr>
                <w:rFonts w:hint="eastAsia"/>
                <w:szCs w:val="21"/>
              </w:rPr>
              <w:t>参加响应</w:t>
            </w:r>
            <w:r>
              <w:rPr>
                <w:szCs w:val="21"/>
              </w:rPr>
              <w:t>时审查</w:t>
            </w:r>
            <w:r>
              <w:t>：</w:t>
            </w:r>
            <w:r>
              <w:rPr>
                <w:rFonts w:ascii="宋体"/>
                <w:szCs w:val="21"/>
              </w:rPr>
              <w:t>法定代表人授权委托书及附件</w:t>
            </w:r>
            <w:r>
              <w:rPr>
                <w:szCs w:val="21"/>
              </w:rPr>
              <w:t xml:space="preserve"> </w:t>
            </w:r>
          </w:p>
          <w:p>
            <w:pPr>
              <w:spacing w:line="240" w:lineRule="exact"/>
              <w:rPr>
                <w:rFonts w:ascii="宋体" w:hint="eastAsia"/>
                <w:szCs w:val="21"/>
              </w:rPr>
            </w:pPr>
            <w:r>
              <w:rPr>
                <w:rFonts w:hint="eastAsia"/>
                <w:szCs w:val="21"/>
              </w:rPr>
              <w:t>法定代表人直接参加响应</w:t>
            </w:r>
            <w:r>
              <w:rPr>
                <w:szCs w:val="21"/>
              </w:rPr>
              <w:t>时审查</w:t>
            </w:r>
            <w:r>
              <w:t>：</w:t>
            </w:r>
            <w:r>
              <w:rPr>
                <w:rFonts w:ascii="宋体"/>
                <w:szCs w:val="21"/>
              </w:rPr>
              <w:t>法定代表人身份证明</w:t>
            </w:r>
            <w:r>
              <w:rPr>
                <w:rFonts w:ascii="宋体" w:hint="eastAsia"/>
                <w:szCs w:val="21"/>
              </w:rPr>
              <w:t>及</w:t>
            </w:r>
            <w:r>
              <w:rPr>
                <w:rFonts w:ascii="宋体"/>
                <w:szCs w:val="21"/>
              </w:rPr>
              <w:t>附件</w:t>
            </w:r>
          </w:p>
          <w:p>
            <w:pPr>
              <w:spacing w:line="240" w:lineRule="exact"/>
            </w:pPr>
            <w:r>
              <w:rPr>
                <w:rFonts w:ascii="宋体"/>
                <w:szCs w:val="21"/>
              </w:rPr>
              <w:t>格式及附件见第六章响应文件格式要求</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实质性条款响应</w:t>
            </w:r>
          </w:p>
        </w:tc>
        <w:tc>
          <w:tcPr>
            <w:tcW w:w="5777" w:type="dxa"/>
            <w:tcBorders>
              <w:top w:val="single" w:sz="4" w:space="0" w:color="auto"/>
              <w:left w:val="single" w:sz="4" w:space="0" w:color="auto"/>
              <w:right w:val="single" w:sz="4" w:space="0" w:color="auto"/>
            </w:tcBorders>
            <w:vAlign w:val="center"/>
          </w:tcPr>
          <w:p>
            <w:pPr>
              <w:spacing w:line="240" w:lineRule="exact"/>
              <w:rPr>
                <w:szCs w:val="21"/>
              </w:rPr>
            </w:pPr>
            <w:r>
              <w:rPr>
                <w:rFonts w:ascii="宋体" w:hint="eastAsia"/>
                <w:szCs w:val="21"/>
              </w:rPr>
              <w:t>采购文件实质性要求响应均无负偏离</w:t>
            </w:r>
          </w:p>
        </w:tc>
      </w:tr>
      <w:tr>
        <w:trPr>
          <w:trHeight w:val="632"/>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rPr>
            </w:pPr>
            <w:r>
              <w:rPr>
                <w:rFonts w:hint="eastAsia"/>
                <w:szCs w:val="21"/>
              </w:rPr>
              <w:t>串通投标</w:t>
            </w:r>
          </w:p>
        </w:tc>
        <w:tc>
          <w:tcPr>
            <w:tcW w:w="5777" w:type="dxa"/>
            <w:tcBorders>
              <w:top w:val="single" w:sz="4" w:space="0" w:color="auto"/>
              <w:left w:val="single" w:sz="4" w:space="0" w:color="auto"/>
              <w:right w:val="single" w:sz="4" w:space="0" w:color="auto"/>
            </w:tcBorders>
            <w:vAlign w:val="center"/>
          </w:tcPr>
          <w:p>
            <w:pPr>
              <w:spacing w:line="240" w:lineRule="exact"/>
              <w:rPr>
                <w:szCs w:val="21"/>
              </w:rPr>
            </w:pPr>
            <w:r>
              <w:rPr>
                <w:rFonts w:ascii="宋体" w:hint="eastAsia"/>
                <w:szCs w:val="21"/>
              </w:rPr>
              <w:t>不属于供应商须知正文第</w:t>
            </w:r>
            <w:r>
              <w:rPr>
                <w:rFonts w:ascii="宋体"/>
                <w:szCs w:val="21"/>
              </w:rPr>
              <w:t>6</w:t>
            </w:r>
            <w:r>
              <w:rPr>
                <w:rFonts w:ascii="宋体" w:hint="eastAsia"/>
                <w:szCs w:val="21"/>
              </w:rPr>
              <w:t>.</w:t>
            </w:r>
            <w:r>
              <w:rPr>
                <w:rFonts w:ascii="宋体"/>
                <w:szCs w:val="21"/>
              </w:rPr>
              <w:t>3</w:t>
            </w:r>
            <w:r>
              <w:rPr>
                <w:rFonts w:ascii="宋体" w:hint="eastAsia"/>
                <w:szCs w:val="21"/>
              </w:rPr>
              <w:t>.</w:t>
            </w:r>
            <w:r>
              <w:rPr>
                <w:rFonts w:ascii="宋体"/>
                <w:szCs w:val="21"/>
              </w:rPr>
              <w:t>8</w:t>
            </w:r>
            <w:r>
              <w:rPr>
                <w:rFonts w:ascii="宋体" w:hint="eastAsia"/>
                <w:szCs w:val="21"/>
              </w:rPr>
              <w:t>规定的串通投标情形，见</w:t>
            </w:r>
            <w:r>
              <w:rPr>
                <w:rFonts w:ascii="宋体"/>
                <w:szCs w:val="21"/>
              </w:rPr>
              <w:t>第六章响应文件格式要求</w:t>
            </w:r>
          </w:p>
        </w:tc>
      </w:tr>
      <w:tr>
        <w:trPr>
          <w:trHeight w:val="417"/>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kern w:val="0"/>
                <w:szCs w:val="21"/>
              </w:rPr>
            </w:pPr>
            <w:r>
              <w:rPr>
                <w:rFonts w:hint="eastAsia"/>
                <w:kern w:val="0"/>
                <w:szCs w:val="21"/>
              </w:rPr>
              <w:t>技术</w:t>
            </w:r>
          </w:p>
        </w:tc>
        <w:tc>
          <w:tcPr>
            <w:tcW w:w="2693"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工期</w:t>
            </w:r>
          </w:p>
        </w:tc>
        <w:tc>
          <w:tcPr>
            <w:tcW w:w="5777"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rPr>
              <w:t>满足</w:t>
            </w:r>
            <w:r>
              <w:rPr>
                <w:rFonts w:ascii="宋体" w:hint="eastAsia"/>
                <w:szCs w:val="21"/>
              </w:rPr>
              <w:t>采购</w:t>
            </w:r>
            <w:r>
              <w:rPr>
                <w:rFonts w:hint="eastAsia"/>
                <w:szCs w:val="21"/>
              </w:rPr>
              <w:t>文件</w:t>
            </w:r>
            <w:r>
              <w:rPr>
                <w:szCs w:val="21"/>
              </w:rPr>
              <w:t>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工程质量</w:t>
            </w:r>
          </w:p>
        </w:tc>
        <w:tc>
          <w:tcPr>
            <w:tcW w:w="5777"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rPr>
              <w:t>满足</w:t>
            </w:r>
            <w:r>
              <w:rPr>
                <w:rFonts w:ascii="宋体" w:hint="eastAsia"/>
                <w:szCs w:val="21"/>
              </w:rPr>
              <w:t>采购</w:t>
            </w:r>
            <w:r>
              <w:rPr>
                <w:rFonts w:hint="eastAsia"/>
                <w:szCs w:val="21"/>
              </w:rPr>
              <w:t>文件</w:t>
            </w:r>
            <w:r>
              <w:rPr>
                <w:szCs w:val="21"/>
              </w:rPr>
              <w:t>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rPr>
                <w:szCs w:val="21"/>
              </w:rPr>
            </w:pPr>
            <w:r>
              <w:rPr>
                <w:rFonts w:hint="eastAsia"/>
                <w:szCs w:val="21"/>
              </w:rPr>
              <w:t>响应</w:t>
            </w:r>
            <w:r>
              <w:rPr>
                <w:szCs w:val="21"/>
              </w:rPr>
              <w:t>有效期</w:t>
            </w:r>
          </w:p>
        </w:tc>
        <w:tc>
          <w:tcPr>
            <w:tcW w:w="5777" w:type="dxa"/>
            <w:tcBorders>
              <w:top w:val="single" w:sz="4" w:space="0" w:color="auto"/>
              <w:left w:val="single" w:sz="4" w:space="0" w:color="auto"/>
              <w:right w:val="single" w:sz="4" w:space="0" w:color="auto"/>
            </w:tcBorders>
            <w:vAlign w:val="center"/>
          </w:tcPr>
          <w:p>
            <w:pPr>
              <w:rPr>
                <w:szCs w:val="21"/>
              </w:rPr>
            </w:pPr>
            <w:r>
              <w:rPr>
                <w:szCs w:val="21"/>
              </w:rPr>
              <w:t>满足</w:t>
            </w:r>
            <w:r>
              <w:rPr>
                <w:rFonts w:ascii="宋体" w:hint="eastAsia"/>
                <w:szCs w:val="21"/>
              </w:rPr>
              <w:t>采购</w:t>
            </w:r>
            <w:r>
              <w:rPr>
                <w:szCs w:val="21"/>
              </w:rPr>
              <w:t>文件规定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rPr>
                <w:szCs w:val="21"/>
              </w:rPr>
            </w:pPr>
            <w:r>
              <w:rPr>
                <w:rFonts w:hint="eastAsia"/>
                <w:szCs w:val="21"/>
              </w:rPr>
              <w:t>技术标准和要求</w:t>
            </w:r>
          </w:p>
        </w:tc>
        <w:tc>
          <w:tcPr>
            <w:tcW w:w="5777" w:type="dxa"/>
            <w:tcBorders>
              <w:top w:val="single" w:sz="4" w:space="0" w:color="auto"/>
              <w:left w:val="single" w:sz="4" w:space="0" w:color="auto"/>
              <w:right w:val="single" w:sz="4" w:space="0" w:color="auto"/>
            </w:tcBorders>
            <w:vAlign w:val="center"/>
          </w:tcPr>
          <w:p>
            <w:pPr>
              <w:rPr>
                <w:szCs w:val="21"/>
              </w:rPr>
            </w:pPr>
            <w:r>
              <w:rPr>
                <w:szCs w:val="21"/>
              </w:rPr>
              <w:t>满足</w:t>
            </w:r>
            <w:r>
              <w:rPr>
                <w:rFonts w:ascii="宋体" w:hint="eastAsia"/>
                <w:szCs w:val="21"/>
              </w:rPr>
              <w:t>采购</w:t>
            </w:r>
            <w:r>
              <w:rPr>
                <w:szCs w:val="21"/>
              </w:rPr>
              <w:t>文件规定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rPr>
                <w:szCs w:val="21"/>
              </w:rPr>
            </w:pPr>
            <w:r>
              <w:rPr>
                <w:rFonts w:hint="eastAsia"/>
                <w:szCs w:val="21"/>
              </w:rPr>
              <w:t>分包计划（如有）</w:t>
            </w:r>
          </w:p>
        </w:tc>
        <w:tc>
          <w:tcPr>
            <w:tcW w:w="5777" w:type="dxa"/>
            <w:tcBorders>
              <w:top w:val="single" w:sz="4" w:space="0" w:color="auto"/>
              <w:left w:val="single" w:sz="4" w:space="0" w:color="auto"/>
              <w:right w:val="single" w:sz="4" w:space="0" w:color="auto"/>
            </w:tcBorders>
            <w:vAlign w:val="center"/>
          </w:tcPr>
          <w:p>
            <w:pPr>
              <w:rPr>
                <w:szCs w:val="21"/>
              </w:rPr>
            </w:pPr>
            <w:r>
              <w:rPr>
                <w:szCs w:val="21"/>
              </w:rPr>
              <w:t>满足</w:t>
            </w:r>
            <w:r>
              <w:rPr>
                <w:rFonts w:ascii="宋体" w:hint="eastAsia"/>
                <w:szCs w:val="21"/>
              </w:rPr>
              <w:t>采购</w:t>
            </w:r>
            <w:r>
              <w:rPr>
                <w:szCs w:val="21"/>
              </w:rPr>
              <w:t>文件规定</w:t>
            </w:r>
          </w:p>
        </w:tc>
      </w:tr>
      <w:tr>
        <w:trPr>
          <w:trHeight w:val="417"/>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已标价工程量清单</w:t>
            </w:r>
          </w:p>
        </w:tc>
        <w:tc>
          <w:tcPr>
            <w:tcW w:w="5777" w:type="dxa"/>
            <w:tcBorders>
              <w:top w:val="single" w:sz="4" w:space="0" w:color="auto"/>
              <w:left w:val="single" w:sz="4" w:space="0" w:color="auto"/>
              <w:right w:val="single" w:sz="4" w:space="0" w:color="auto"/>
            </w:tcBorders>
            <w:vAlign w:val="center"/>
          </w:tcPr>
          <w:p>
            <w:pPr>
              <w:spacing w:line="240" w:lineRule="exact"/>
              <w:rPr>
                <w:szCs w:val="21"/>
                <w:lang w:val="zh-CN"/>
              </w:rPr>
            </w:pPr>
            <w:r>
              <w:rPr>
                <w:szCs w:val="21"/>
                <w:lang w:val="zh-CN"/>
              </w:rPr>
              <w:t>符合</w:t>
            </w:r>
            <w:r>
              <w:rPr>
                <w:szCs w:val="21"/>
              </w:rPr>
              <w:t>第</w:t>
            </w:r>
            <w:r>
              <w:rPr>
                <w:rFonts w:hint="eastAsia"/>
                <w:szCs w:val="21"/>
              </w:rPr>
              <w:t>二</w:t>
            </w:r>
            <w:r>
              <w:rPr>
                <w:szCs w:val="21"/>
              </w:rPr>
              <w:t>章“工程量清单”及 “</w:t>
            </w:r>
            <w:r>
              <w:rPr>
                <w:rFonts w:hint="eastAsia"/>
                <w:szCs w:val="21"/>
              </w:rPr>
              <w:t>图纸</w:t>
            </w:r>
            <w:r>
              <w:rPr>
                <w:szCs w:val="21"/>
              </w:rPr>
              <w:t>”</w:t>
            </w:r>
            <w:r>
              <w:rPr>
                <w:szCs w:val="21"/>
                <w:lang w:val="zh-CN"/>
              </w:rPr>
              <w:t>给出的范围、数量及编制要求</w:t>
            </w:r>
          </w:p>
        </w:tc>
      </w:tr>
      <w:tr>
        <w:trPr>
          <w:trHeight w:val="483"/>
        </w:trPr>
        <w:tc>
          <w:tcPr>
            <w:tcW w:w="1101" w:type="dxa"/>
            <w:vMerge w:val="restart"/>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kern w:val="0"/>
                <w:szCs w:val="21"/>
              </w:rPr>
              <w:t>报价</w:t>
            </w:r>
          </w:p>
        </w:tc>
        <w:tc>
          <w:tcPr>
            <w:tcW w:w="2693" w:type="dxa"/>
            <w:tcBorders>
              <w:top w:val="single" w:sz="4" w:space="0" w:color="auto"/>
              <w:left w:val="single" w:sz="4" w:space="0" w:color="auto"/>
              <w:right w:val="single" w:sz="4" w:space="0" w:color="auto"/>
            </w:tcBorders>
            <w:vAlign w:val="center"/>
          </w:tcPr>
          <w:p>
            <w:r>
              <w:rPr>
                <w:rFonts w:hint="eastAsia"/>
              </w:rPr>
              <w:t>有效报价</w:t>
            </w:r>
          </w:p>
        </w:tc>
        <w:tc>
          <w:tcPr>
            <w:tcW w:w="5777" w:type="dxa"/>
            <w:tcBorders>
              <w:top w:val="single" w:sz="4" w:space="0" w:color="auto"/>
              <w:left w:val="single" w:sz="4" w:space="0" w:color="auto"/>
              <w:right w:val="single" w:sz="4" w:space="0" w:color="auto"/>
            </w:tcBorders>
            <w:vAlign w:val="center"/>
          </w:tcPr>
          <w:p>
            <w:r>
              <w:rPr>
                <w:rFonts w:hint="eastAsia"/>
              </w:rPr>
              <w:t>最后报价未超出采购预算金额（包括分项预算），也未超出最高限价（如有）</w:t>
            </w:r>
          </w:p>
        </w:tc>
      </w:tr>
      <w:tr>
        <w:trPr>
          <w:trHeight w:val="483"/>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漏项报价</w:t>
            </w:r>
          </w:p>
        </w:tc>
        <w:tc>
          <w:tcPr>
            <w:tcW w:w="5777" w:type="dxa"/>
            <w:tcBorders>
              <w:top w:val="single" w:sz="4" w:space="0" w:color="auto"/>
              <w:left w:val="single" w:sz="4" w:space="0" w:color="auto"/>
              <w:right w:val="single" w:sz="4" w:space="0" w:color="auto"/>
            </w:tcBorders>
            <w:vAlign w:val="center"/>
          </w:tcPr>
          <w:p>
            <w:r>
              <w:rPr>
                <w:rFonts w:hint="eastAsia"/>
              </w:rPr>
              <w:t>未就所投分标进行报价或者存在漏项报价；</w:t>
            </w:r>
          </w:p>
        </w:tc>
      </w:tr>
      <w:tr>
        <w:trPr>
          <w:trHeight w:val="696"/>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响应报价唯一性</w:t>
            </w:r>
          </w:p>
        </w:tc>
        <w:tc>
          <w:tcPr>
            <w:tcW w:w="5777" w:type="dxa"/>
            <w:tcBorders>
              <w:top w:val="single" w:sz="4" w:space="0" w:color="auto"/>
              <w:left w:val="single" w:sz="4" w:space="0" w:color="auto"/>
              <w:right w:val="single" w:sz="4" w:space="0" w:color="auto"/>
            </w:tcBorders>
            <w:vAlign w:val="center"/>
          </w:tcPr>
          <w:p>
            <w:r>
              <w:rPr>
                <w:rFonts w:hint="eastAsia"/>
              </w:rPr>
              <w:t>不存在有选择、有条件的最后报价（采购文件允许有备选方案或者其他约定的除外）</w:t>
            </w:r>
          </w:p>
        </w:tc>
      </w:tr>
      <w:tr>
        <w:trPr>
          <w:trHeight w:val="696"/>
        </w:trPr>
        <w:tc>
          <w:tcPr>
            <w:tcW w:w="1101" w:type="dxa"/>
            <w:vMerge/>
            <w:tcBorders>
              <w:top w:val="single" w:sz="4" w:space="0" w:color="auto"/>
              <w:left w:val="single" w:sz="4" w:space="0" w:color="auto"/>
              <w:right w:val="single" w:sz="4" w:space="0" w:color="auto"/>
            </w:tcBorders>
            <w:vAlign w:val="center"/>
          </w:tcPr>
          <w:p/>
        </w:tc>
        <w:tc>
          <w:tcPr>
            <w:tcW w:w="2693" w:type="dxa"/>
            <w:tcBorders>
              <w:top w:val="single" w:sz="4" w:space="0" w:color="auto"/>
              <w:left w:val="single" w:sz="4" w:space="0" w:color="auto"/>
              <w:right w:val="single" w:sz="4" w:space="0" w:color="auto"/>
            </w:tcBorders>
            <w:vAlign w:val="center"/>
          </w:tcPr>
          <w:p>
            <w:pPr>
              <w:spacing w:line="240" w:lineRule="exact"/>
              <w:jc w:val="center"/>
              <w:rPr>
                <w:szCs w:val="21"/>
              </w:rPr>
            </w:pPr>
            <w:r>
              <w:rPr>
                <w:rFonts w:hint="eastAsia"/>
              </w:rPr>
              <w:t>响应有效期</w:t>
            </w:r>
          </w:p>
        </w:tc>
        <w:tc>
          <w:tcPr>
            <w:tcW w:w="5777" w:type="dxa"/>
            <w:tcBorders>
              <w:top w:val="single" w:sz="4" w:space="0" w:color="auto"/>
              <w:left w:val="single" w:sz="4" w:space="0" w:color="auto"/>
              <w:right w:val="single" w:sz="4" w:space="0" w:color="auto"/>
            </w:tcBorders>
            <w:vAlign w:val="center"/>
          </w:tcPr>
          <w:p>
            <w:r>
              <w:rPr>
                <w:rFonts w:hint="eastAsia"/>
              </w:rPr>
              <w:t>满足采购文件规定</w:t>
            </w:r>
          </w:p>
        </w:tc>
      </w:tr>
    </w:tbl>
    <w:p>
      <w:pPr>
        <w:spacing w:before="120" w:line="320" w:lineRule="atLeast"/>
        <w:ind w:firstLineChars="196" w:firstLine="412"/>
        <w:outlineLvl w:val="1"/>
        <w:rPr>
          <w:b/>
          <w:bCs/>
          <w:kern w:val="0"/>
          <w:szCs w:val="21"/>
        </w:rPr>
      </w:pPr>
      <w:r>
        <w:rPr>
          <w:b/>
          <w:bCs/>
          <w:kern w:val="0"/>
          <w:szCs w:val="21"/>
        </w:rPr>
        <w:br w:type="page"/>
        <w:t>4.</w:t>
      </w:r>
      <w:r>
        <w:rPr>
          <w:rFonts w:hint="eastAsia"/>
          <w:b/>
          <w:bCs/>
          <w:kern w:val="0"/>
          <w:szCs w:val="21"/>
        </w:rPr>
        <w:t>评审</w:t>
      </w:r>
      <w:r>
        <w:rPr>
          <w:b/>
          <w:bCs/>
          <w:kern w:val="0"/>
          <w:szCs w:val="21"/>
        </w:rPr>
        <w:t>标准</w:t>
      </w:r>
    </w:p>
    <w:p>
      <w:pPr>
        <w:pStyle w:val="31"/>
        <w:snapToGrid w:val="0"/>
        <w:jc w:val="center"/>
        <w:rPr>
          <w:rFonts w:ascii="Times New Roman" w:cs="Times New Roman" w:hAnsi="Times New Roman"/>
          <w:b/>
          <w:sz w:val="24"/>
          <w:szCs w:val="24"/>
        </w:rPr>
      </w:pPr>
    </w:p>
    <w:p>
      <w:pPr>
        <w:ind w:firstLineChars="200" w:firstLine="420"/>
      </w:pPr>
      <w:r>
        <w:rPr>
          <w:rFonts w:hint="eastAsia"/>
        </w:rPr>
        <w:t>（1）技术及商务资信分</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13"/>
        <w:gridCol w:w="720"/>
        <w:gridCol w:w="877"/>
        <w:gridCol w:w="6037"/>
        <w:gridCol w:w="674"/>
        <w:gridCol w:w="747"/>
      </w:tblGrid>
      <w:tr>
        <w:tc>
          <w:tcPr>
            <w:tcW w:w="268" w:type="pct"/>
            <w:tcBorders>
              <w:left w:val="single" w:sz="4" w:space="0" w:color="auto"/>
              <w:right w:val="single" w:sz="4" w:space="0" w:color="auto"/>
            </w:tcBorders>
            <w:vAlign w:val="center"/>
          </w:tcPr>
          <w:p>
            <w:pPr>
              <w:jc w:val="center"/>
              <w:rPr>
                <w:b/>
                <w:szCs w:val="21"/>
              </w:rPr>
            </w:pPr>
            <w:r>
              <w:rPr>
                <w:b/>
                <w:szCs w:val="21"/>
              </w:rPr>
              <w:t>序号</w:t>
            </w:r>
          </w:p>
        </w:tc>
        <w:tc>
          <w:tcPr>
            <w:tcW w:w="376" w:type="pct"/>
            <w:tcBorders>
              <w:left w:val="single" w:sz="4" w:space="0" w:color="auto"/>
              <w:right w:val="single" w:sz="4" w:space="0" w:color="auto"/>
            </w:tcBorders>
            <w:vAlign w:val="center"/>
          </w:tcPr>
          <w:p>
            <w:pPr>
              <w:jc w:val="center"/>
              <w:rPr>
                <w:b/>
                <w:szCs w:val="21"/>
              </w:rPr>
            </w:pPr>
            <w:r>
              <w:rPr>
                <w:rFonts w:hint="eastAsia"/>
                <w:b/>
                <w:szCs w:val="21"/>
              </w:rPr>
              <w:t>类型</w:t>
            </w:r>
          </w:p>
        </w:tc>
        <w:tc>
          <w:tcPr>
            <w:tcW w:w="3612" w:type="pct"/>
            <w:gridSpan w:val="2"/>
            <w:tcBorders>
              <w:left w:val="single" w:sz="4" w:space="0" w:color="auto"/>
              <w:right w:val="single" w:sz="4" w:space="0" w:color="auto"/>
            </w:tcBorders>
          </w:tcPr>
          <w:p>
            <w:pPr>
              <w:jc w:val="center"/>
              <w:rPr>
                <w:b/>
                <w:szCs w:val="21"/>
              </w:rPr>
            </w:pPr>
            <w:r>
              <w:rPr>
                <w:rFonts w:hint="eastAsia"/>
                <w:b/>
                <w:szCs w:val="21"/>
              </w:rPr>
              <w:t>评分标准</w:t>
            </w:r>
          </w:p>
        </w:tc>
        <w:tc>
          <w:tcPr>
            <w:tcW w:w="352" w:type="pct"/>
            <w:tcBorders>
              <w:left w:val="single" w:sz="4" w:space="0" w:color="auto"/>
              <w:right w:val="single" w:sz="4" w:space="0" w:color="auto"/>
            </w:tcBorders>
            <w:vAlign w:val="center"/>
          </w:tcPr>
          <w:p>
            <w:pPr>
              <w:jc w:val="center"/>
              <w:rPr>
                <w:b/>
                <w:szCs w:val="21"/>
              </w:rPr>
            </w:pPr>
            <w:r>
              <w:rPr>
                <w:rFonts w:hint="eastAsia"/>
                <w:b/>
                <w:szCs w:val="21"/>
              </w:rPr>
              <w:t>分值权重</w:t>
            </w:r>
          </w:p>
        </w:tc>
        <w:tc>
          <w:tcPr>
            <w:tcW w:w="390" w:type="pct"/>
            <w:tcBorders>
              <w:left w:val="single" w:sz="4" w:space="0" w:color="auto"/>
              <w:right w:val="single" w:sz="4" w:space="0" w:color="auto"/>
            </w:tcBorders>
            <w:vAlign w:val="center"/>
          </w:tcPr>
          <w:p>
            <w:pPr>
              <w:jc w:val="center"/>
              <w:rPr>
                <w:b/>
                <w:szCs w:val="21"/>
              </w:rPr>
            </w:pPr>
            <w:r>
              <w:rPr>
                <w:b/>
                <w:szCs w:val="21"/>
              </w:rPr>
              <w:t>说明</w:t>
            </w:r>
          </w:p>
        </w:tc>
      </w:tr>
      <w:tr>
        <w:tc>
          <w:tcPr>
            <w:tcW w:w="268" w:type="pct"/>
            <w:vMerge w:val="restart"/>
            <w:tcBorders>
              <w:top w:val="single" w:sz="4" w:space="0" w:color="auto"/>
              <w:left w:val="single" w:sz="4" w:space="0" w:color="auto"/>
              <w:right w:val="single" w:sz="4" w:space="0" w:color="auto"/>
            </w:tcBorders>
            <w:vAlign w:val="center"/>
          </w:tcPr>
          <w:p>
            <w:pPr>
              <w:jc w:val="center"/>
              <w:rPr>
                <w:b/>
                <w:szCs w:val="21"/>
              </w:rPr>
            </w:pPr>
            <w:r>
              <w:rPr>
                <w:rFonts w:hint="eastAsia"/>
                <w:b/>
                <w:szCs w:val="21"/>
              </w:rPr>
              <w:t>1</w:t>
            </w:r>
          </w:p>
        </w:tc>
        <w:tc>
          <w:tcPr>
            <w:tcW w:w="376" w:type="pct"/>
            <w:vMerge w:val="restart"/>
            <w:tcBorders>
              <w:top w:val="single" w:sz="4" w:space="0" w:color="auto"/>
              <w:left w:val="single" w:sz="4" w:space="0" w:color="auto"/>
              <w:right w:val="single" w:sz="4" w:space="0" w:color="auto"/>
            </w:tcBorders>
            <w:vAlign w:val="center"/>
          </w:tcPr>
          <w:p>
            <w:pPr>
              <w:jc w:val="center"/>
              <w:rPr>
                <w:szCs w:val="21"/>
              </w:rPr>
            </w:pPr>
            <w:r>
              <w:rPr>
                <w:rFonts w:hint="eastAsia"/>
                <w:szCs w:val="21"/>
              </w:rPr>
              <w:t>技术分</w:t>
            </w:r>
          </w:p>
        </w:tc>
        <w:tc>
          <w:tcPr>
            <w:tcW w:w="458" w:type="pct"/>
            <w:vMerge w:val="restart"/>
            <w:tcBorders>
              <w:top w:val="single" w:sz="4" w:space="0" w:color="auto"/>
              <w:left w:val="single" w:sz="4" w:space="0" w:color="auto"/>
              <w:right w:val="single" w:sz="4" w:space="0" w:color="auto"/>
            </w:tcBorders>
            <w:vAlign w:val="center"/>
          </w:tcPr>
          <w:p>
            <w:pPr>
              <w:jc w:val="center"/>
              <w:rPr>
                <w:rFonts w:ascii="Times New Roman" w:eastAsia="宋体" w:cs="宋体" w:hAnsi="Times New Roman"/>
                <w:kern w:val="0"/>
              </w:rPr>
            </w:pPr>
            <w:r>
              <w:rPr>
                <w:rFonts w:ascii="Arial" w:eastAsia="宋体" w:cs="Arial" w:hAnsi="Arial" w:hint="eastAsia"/>
                <w:szCs w:val="21"/>
              </w:rPr>
              <w:t>项目管理机构</w:t>
            </w: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1）项目经理资格（6分）</w:t>
            </w:r>
          </w:p>
          <w:p>
            <w:pPr>
              <w:rPr>
                <w:rFonts w:ascii="Times New Roman" w:eastAsia="宋体" w:cs="Times New Roman" w:hAnsi="Times New Roman" w:hint="eastAsia"/>
                <w:szCs w:val="21"/>
              </w:rPr>
            </w:pPr>
            <w:r>
              <w:rPr>
                <w:rFonts w:ascii="Times New Roman" w:eastAsia="宋体" w:cs="Times New Roman" w:hAnsi="Times New Roman" w:hint="eastAsia"/>
                <w:szCs w:val="21"/>
              </w:rPr>
              <w:t>①拟投入的项目经理具备建筑工程专业贰级以上（含贰级）注册建造师执业资格，且具有中级及以上工程师职称，并具备有效的安全生产考核合格证书（B类）的得6分；</w:t>
            </w:r>
          </w:p>
          <w:p>
            <w:pPr>
              <w:rPr>
                <w:rFonts w:ascii="Times New Roman" w:eastAsia="宋体" w:cs="Times New Roman" w:hAnsi="Times New Roman" w:hint="eastAsia"/>
                <w:szCs w:val="21"/>
              </w:rPr>
            </w:pPr>
            <w:r>
              <w:rPr>
                <w:rFonts w:ascii="Times New Roman" w:eastAsia="宋体" w:cs="Times New Roman" w:hAnsi="Times New Roman" w:hint="eastAsia"/>
                <w:szCs w:val="21"/>
              </w:rPr>
              <w:t>注：未提供竞标人为上述人员缴纳竞标截止时间前</w:t>
            </w:r>
            <w:r>
              <w:rPr>
                <w:rFonts w:ascii="Times New Roman" w:eastAsia="宋体" w:cs="Times New Roman" w:hAnsi="Times New Roman" w:hint="eastAsia"/>
                <w:szCs w:val="21"/>
                <w:lang w:val="en-US" w:eastAsia="zh-CN"/>
              </w:rPr>
              <w:t>半年内</w:t>
            </w:r>
            <w:r>
              <w:rPr>
                <w:rFonts w:ascii="Times New Roman" w:eastAsia="宋体" w:cs="Times New Roman" w:hAnsi="Times New Roman" w:hint="eastAsia"/>
                <w:szCs w:val="21"/>
              </w:rPr>
              <w:t>任意一个月社会保险的证明材料的不予计分。</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eastAsia="zh-CN"/>
              </w:rPr>
            </w:pPr>
            <w:r>
              <w:rPr>
                <w:rFonts w:hint="eastAsia"/>
                <w:szCs w:val="21"/>
                <w:lang w:val="en-US" w:eastAsia="zh-CN"/>
              </w:rPr>
              <w:t>6</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vAlign w:val="center"/>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2）其他主要人员（满分9分）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优（9分）：拟投入本项目的技术负责人具有工程类中级及以上职称，安全员、施工员、 质检员、材料员均具有相应岗位资格证书，且拟投入的项目管理人员完全符合国家及广西壮族自治区的规定，主要人员各专业配备完全满足项目施工管理要求，综合素质良好，且有储备人员，并承诺所拟投入人员均能保证进入现场施工管理。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6分）：拟投入本项目的技术负责人具有工程类中级及以上职称，安全员、施工员、质检员、材料员具有相应岗位资格证书，且拟投入的项目管理人员基本符合国家及广西壮族自治区的规定，基本满足项目施工管理要求，主要人员各专业配备符合项目施工管理要求，综合素质良好，并承诺所拟投入人员均能保证进入现场施工管理。 </w:t>
            </w:r>
          </w:p>
          <w:p>
            <w:pPr>
              <w:rPr>
                <w:rFonts w:ascii="Times New Roman" w:eastAsia="宋体" w:cs="Times New Roman" w:hAnsi="Times New Roman" w:hint="eastAsia"/>
                <w:szCs w:val="21"/>
              </w:rPr>
            </w:pPr>
            <w:r>
              <w:rPr>
                <w:rFonts w:ascii="Times New Roman" w:eastAsia="宋体" w:cs="Times New Roman" w:hAnsi="Times New Roman" w:hint="eastAsia"/>
                <w:szCs w:val="21"/>
              </w:rPr>
              <w:t>差（1分）：拟投入本项目的技术负责人具有工程类中级及以上职称，安全员、施工员、质检员、材料员基本具有相应岗位资格证书或证书不齐全，不能满足项目施工管理要求，主要人员专业配备及综合素质一般，无承诺。</w:t>
            </w:r>
          </w:p>
          <w:p>
            <w:pPr>
              <w:rPr>
                <w:rFonts w:ascii="Times New Roman" w:eastAsia="宋体" w:cs="Times New Roman" w:hAnsi="Times New Roman" w:hint="eastAsia"/>
                <w:szCs w:val="21"/>
              </w:rPr>
            </w:pPr>
            <w:r>
              <w:rPr>
                <w:rFonts w:ascii="Times New Roman" w:eastAsia="宋体" w:cs="Times New Roman" w:hAnsi="Times New Roman" w:hint="eastAsia"/>
                <w:szCs w:val="21"/>
              </w:rPr>
              <w:t>注：未提供竞标人为上述人员缴纳竞标截止时间前半年内任意一个月社会保险的证明材料的不予计分。</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9</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val="restart"/>
            <w:tcBorders>
              <w:top w:val="single" w:sz="4" w:space="0" w:color="auto"/>
              <w:left w:val="single" w:sz="4" w:space="0" w:color="auto"/>
              <w:right w:val="single" w:sz="4" w:space="0" w:color="auto"/>
            </w:tcBorders>
            <w:vAlign w:val="center"/>
          </w:tcPr>
          <w:p>
            <w:pPr>
              <w:jc w:val="center"/>
              <w:rPr>
                <w:szCs w:val="21"/>
              </w:rPr>
            </w:pPr>
            <w:r>
              <w:rPr>
                <w:rFonts w:hint="eastAsia"/>
                <w:szCs w:val="21"/>
              </w:rPr>
              <w:t>施工组织设计</w:t>
            </w: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1）主要施工方法（满分5分）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优（5分）：各主要分部施工方法符合项目实际，有详尽的施工技术方案，工艺先进、方法科学合理、可行，完全能指导具体施工并确保安全。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良（3分）：各主要分部施工方法基本符合项目实际，施工技术方案基本详细，工艺较先进、方法较科学合理、可行，基本能指导具体施工并确保安全。 </w:t>
            </w:r>
          </w:p>
          <w:p>
            <w:pPr>
              <w:rPr>
                <w:rFonts w:cs="宋体"/>
                <w:kern w:val="0"/>
              </w:rPr>
            </w:pPr>
            <w:r>
              <w:rPr>
                <w:rFonts w:ascii="Times New Roman" w:eastAsia="宋体" w:cs="Times New Roman" w:hAnsi="Times New Roman" w:hint="eastAsia"/>
                <w:szCs w:val="21"/>
              </w:rPr>
              <w:t>差（1分）：各主要分部施工方法不符合项目实际，没有详尽的施工技术方案，工艺不先进、方法不科学合理、可行，不能指导具体施工并确保安全。</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2）拟投入的主要物资计划（满分5分）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优（5分）：投入的施工材料有详细的组织计划且计划周密，数量、选型配置、进场时间安排合理， 完全满足施工需要。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 投入的施工材料有较详细的组织计划且计划 周密，数量、选型配置、进场时间基本安排合理，基本满足施工需要。 </w:t>
            </w:r>
          </w:p>
          <w:p>
            <w:pPr>
              <w:rPr>
                <w:rFonts w:cs="宋体"/>
                <w:kern w:val="0"/>
              </w:rPr>
            </w:pPr>
            <w:r>
              <w:rPr>
                <w:rFonts w:ascii="Times New Roman" w:eastAsia="宋体" w:cs="Times New Roman" w:hAnsi="Times New Roman" w:hint="eastAsia"/>
                <w:szCs w:val="21"/>
              </w:rPr>
              <w:t>差（1分）：投入的施工材料没有详细的组织计划且计划不周密， 数量、选型配置、进场时间安排不清晰合理，不能满足施工需要。</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3）拟投入的主要施工机械、设备计划（满分5分）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优（5分）：投入的施工机械、设备、机具有详细的组织计划且计划周密，设备数量、选型配置、进场时间安排合理，完全满足施工需要。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良（3分）：投入的施工机械、设备、机具有较详细的组织计划且计划周密，设备数量、选型配置、进场时间安排较合理，基本满足施工需要。 </w:t>
            </w:r>
          </w:p>
          <w:p>
            <w:pPr>
              <w:rPr>
                <w:szCs w:val="21"/>
              </w:rPr>
            </w:pPr>
            <w:r>
              <w:rPr>
                <w:rFonts w:ascii="Times New Roman" w:eastAsia="宋体" w:cs="Times New Roman" w:hAnsi="Times New Roman" w:hint="eastAsia"/>
                <w:szCs w:val="21"/>
              </w:rPr>
              <w:t>差（1分）：投入的施工机械、设备、机具没有详细的组织计划且计划不周密，设备数量、选型配置、进场时间安排不清晰、不合理，不能满足施工需要。</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4）劳动力安排计划（满分5分）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优（5分）:各主要施工工序有详细周密的劳动力安排计划，有各工种劳动力安排计划，劳动力投入合理，完全满足施工需要。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良（3分）：各主要施工工序有较详细周密的劳 动力安排计划，有各工种劳动力安排计划，劳 动力投入基本合理，基本满足施工需要。 </w:t>
            </w:r>
          </w:p>
          <w:p>
            <w:pPr>
              <w:rPr>
                <w:szCs w:val="21"/>
              </w:rPr>
            </w:pPr>
            <w:r>
              <w:rPr>
                <w:rFonts w:ascii="Times New Roman" w:eastAsia="宋体" w:cs="Times New Roman" w:hAnsi="Times New Roman" w:hint="eastAsia"/>
                <w:szCs w:val="21"/>
              </w:rPr>
              <w:t>差（1分）：各主要施工工序没有详细的劳动力安排计划，没有各工种劳动力安排计划，劳动力投入不合理，不能满足施工要求。</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5）确保工程质量的技术组织措施（满分5分）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优（5分）：有专门的质量技术管理班子和制度，且人员配备合理，制度健全。主要工序有较好的质量技术保证措施和手段，自控体系完整，能有效保证技术质量，完全能达到承诺的质量标准。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良（3分）：有专门的质量技术管理班子和制度，且人员配备基本合理，制度较健全。主要工序有质量技术保证措施和段，自控体系基本完整，基本能有效保证技术质量，达到承诺的质量标准。 </w:t>
            </w:r>
          </w:p>
          <w:p>
            <w:pPr>
              <w:rPr>
                <w:szCs w:val="21"/>
              </w:rPr>
            </w:pPr>
            <w:r>
              <w:rPr>
                <w:rFonts w:ascii="Times New Roman" w:eastAsia="宋体" w:cs="Times New Roman" w:hAnsi="Times New Roman" w:hint="eastAsia"/>
                <w:szCs w:val="21"/>
              </w:rPr>
              <w:t>差（1分）：没有专门的质量技术管理班子和制度，且人员配备不合理，制度不健全。主要工序有质量技术保证措施和手段，自控体系不完整，不能有效保证技术质量，不能达到承诺的质量标准。</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6）确保安全生产的技术组织措施（满分5分）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优 （5分）：有专门的安全管理人员和制度，且人员配备合理，制度健全，各道工序安全技术措施针对性强，完全符合实际且能优于关安全技术标准要求。现场</w:t>
            </w:r>
            <w:r>
              <w:rPr>
                <w:rFonts w:ascii="Times New Roman" w:eastAsia="宋体" w:cs="Times New Roman" w:hAnsi="Times New Roman" w:hint="eastAsia"/>
                <w:szCs w:val="21"/>
                <w:lang w:eastAsia="zh-CN"/>
              </w:rPr>
              <w:t>防灾</w:t>
            </w:r>
            <w:r>
              <w:rPr>
                <w:rFonts w:ascii="Times New Roman" w:eastAsia="宋体" w:cs="Times New Roman" w:hAnsi="Times New Roman" w:hint="eastAsia"/>
                <w:szCs w:val="21"/>
              </w:rPr>
              <w:t xml:space="preserve">、应急救援、社会治安安全措施得力。 </w:t>
            </w:r>
          </w:p>
          <w:p>
            <w:pPr>
              <w:rPr>
                <w:rFonts w:ascii="Times New Roman" w:eastAsia="宋体" w:cs="Times New Roman" w:hAnsi="Times New Roman" w:hint="eastAsia"/>
                <w:szCs w:val="21"/>
              </w:rPr>
            </w:pPr>
            <w:r>
              <w:rPr>
                <w:rFonts w:ascii="Times New Roman" w:eastAsia="宋体" w:cs="Times New Roman" w:hAnsi="Times New Roman" w:hint="eastAsia"/>
                <w:szCs w:val="21"/>
              </w:rPr>
              <w:t>良（3分） ：有专门的安全管理人员和制度，且人员基本配备合理，制度基本健全，各道工序安全技术措施针对性比较强，基本符合实际且基本满足有关安全技术标准要求。现场</w:t>
            </w:r>
            <w:r>
              <w:rPr>
                <w:rFonts w:ascii="Times New Roman" w:eastAsia="宋体" w:cs="Times New Roman" w:hAnsi="Times New Roman" w:hint="eastAsia"/>
                <w:szCs w:val="21"/>
                <w:lang w:eastAsia="zh-CN"/>
              </w:rPr>
              <w:t>防灾</w:t>
            </w:r>
            <w:r>
              <w:rPr>
                <w:rFonts w:ascii="Times New Roman" w:eastAsia="宋体" w:cs="Times New Roman" w:hAnsi="Times New Roman" w:hint="eastAsia"/>
                <w:szCs w:val="21"/>
              </w:rPr>
              <w:t xml:space="preserve">、应急救援、社会治安安全措施得力。 </w:t>
            </w:r>
          </w:p>
          <w:p>
            <w:pPr>
              <w:rPr>
                <w:rFonts w:cs="宋体"/>
                <w:kern w:val="0"/>
              </w:rPr>
            </w:pPr>
            <w:r>
              <w:rPr>
                <w:rFonts w:ascii="Times New Roman" w:eastAsia="宋体" w:cs="Times New Roman" w:hAnsi="Times New Roman" w:hint="eastAsia"/>
                <w:szCs w:val="21"/>
              </w:rPr>
              <w:t>差（1分）：有专门的安全管理人员和制度，但人员配备不齐合理，制度不健全，各道工序安全技术措施针对性不强，不符合实际，不能满足有关安全技术标准要求。现场</w:t>
            </w:r>
            <w:r>
              <w:rPr>
                <w:rFonts w:ascii="Times New Roman" w:eastAsia="宋体" w:cs="Times New Roman" w:hAnsi="Times New Roman" w:hint="eastAsia"/>
                <w:szCs w:val="21"/>
                <w:lang w:eastAsia="zh-CN"/>
              </w:rPr>
              <w:t>防灾</w:t>
            </w:r>
            <w:r>
              <w:rPr>
                <w:rFonts w:ascii="Times New Roman" w:eastAsia="宋体" w:cs="Times New Roman" w:hAnsi="Times New Roman" w:hint="eastAsia"/>
                <w:szCs w:val="21"/>
              </w:rPr>
              <w:t>、应急救援、社会治安安全措施较差。</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7）确保工期的技术组织措施（满分5分）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在施工工艺、施工方法、材料选用、劳动力安排、技术等方面有具体的保证工期措施且措施得当；有控制工期的施工进度计划，有施工总进度表或施工网络图，各项计划图表编制完善，安排科学合理，完全符合本项目施工要求。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在施工工艺、施工方法、材料选用、劳动力安排、技术等方面有保证工期的措施，且基本可行；有控制工期的施工进度计划、施工总进度表或施工网络图，各项计划图表编制基本完善，基本符合本项目施工实际要求。 </w:t>
            </w:r>
          </w:p>
          <w:p>
            <w:pPr>
              <w:rPr>
                <w:rFonts w:ascii="Times New Roman" w:eastAsia="宋体" w:cs="Times New Roman" w:hAnsi="Times New Roman" w:hint="eastAsia"/>
                <w:szCs w:val="21"/>
              </w:rPr>
            </w:pPr>
            <w:r>
              <w:rPr>
                <w:rFonts w:ascii="Times New Roman" w:eastAsia="宋体" w:cs="Times New Roman" w:hAnsi="Times New Roman" w:hint="eastAsia"/>
                <w:szCs w:val="21"/>
              </w:rPr>
              <w:t>差（1分）：在施工工艺、施工方法、材料选用、劳动力安排、技术等方面没有保证工期的措施。没有控制工期的施工进度计划。没有施工总进度表或施工网络图，各项计划图表编制不完善，安排不科学合理，不符合本项目施工实际要求。</w:t>
            </w:r>
          </w:p>
        </w:tc>
        <w:tc>
          <w:tcPr>
            <w:tcW w:w="352" w:type="pct"/>
            <w:tcBorders>
              <w:top w:val="single" w:sz="4" w:space="0" w:color="auto"/>
              <w:left w:val="single" w:sz="4" w:space="0" w:color="auto"/>
              <w:right w:val="single" w:sz="4" w:space="0" w:color="auto"/>
            </w:tcBorders>
            <w:vAlign w:val="center"/>
          </w:tcPr>
          <w:p>
            <w:pPr>
              <w:jc w:val="center"/>
              <w:rPr>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b/>
                <w:bCs/>
                <w:szCs w:val="21"/>
              </w:rPr>
            </w:pPr>
            <w:r>
              <w:rPr>
                <w:rFonts w:ascii="Times New Roman" w:eastAsia="宋体" w:cs="Times New Roman" w:hAnsi="Times New Roman" w:hint="eastAsia"/>
                <w:b/>
                <w:bCs/>
                <w:szCs w:val="21"/>
              </w:rPr>
              <w:t>8）确保文明施工的技术组织措施（满分5分）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优（5分）：针对本工程项目特点，有现场文明施工、环境保护措施，且措施内容应达到 《建筑施工安全生产检查标准》 （JGJ59-2011） 合格标准并符合《广西壮族自治区建筑工程文 明施工导则》要求。各项措施周全、具体、有效。 有具体实现现场文明施工目标的承诺。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 良（3分）：针对本工程项目特点，有现场文明 施工、环境保护措施，且措施内容基本应达到 《建筑施工安全生产检查标准》 （JGJ59-2011） 合格标准并基本符合《广西壮族自治区建筑工 程文明施工导则》要求。各项措施基本周全、 具体、有效。有具体实现现场文明施工目标的承诺。 </w:t>
            </w:r>
          </w:p>
          <w:p>
            <w:pPr>
              <w:rPr>
                <w:szCs w:val="21"/>
              </w:rPr>
            </w:pPr>
            <w:r>
              <w:rPr>
                <w:rFonts w:ascii="Times New Roman" w:eastAsia="宋体" w:cs="Times New Roman" w:hAnsi="Times New Roman" w:hint="eastAsia"/>
                <w:szCs w:val="21"/>
              </w:rPr>
              <w:t>差（1分）：针对本工程项目特点，没有现场文明施工、环境保护措施，且措施内容不应达《建筑施工安全生产检查标准》 （JGJ59-2011）合格标准并不符合《广西壮族 自治区建筑工程文明施工导则》要求。各项措 施不周全、不具体、不有效。没有具体实现现 场文明施工目标的承诺。</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val="en-US"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c>
          <w:tcPr>
            <w:tcW w:w="268" w:type="pct"/>
            <w:vMerge/>
            <w:tcBorders>
              <w:top w:val="single" w:sz="4" w:space="0" w:color="auto"/>
              <w:left w:val="single" w:sz="4" w:space="0" w:color="auto"/>
              <w:right w:val="single" w:sz="4" w:space="0" w:color="auto"/>
            </w:tcBorders>
            <w:vAlign w:val="center"/>
          </w:tcPr>
          <w:p/>
        </w:tc>
        <w:tc>
          <w:tcPr>
            <w:tcW w:w="376" w:type="pct"/>
            <w:vMerge/>
            <w:tcBorders>
              <w:top w:val="single" w:sz="4" w:space="0" w:color="auto"/>
              <w:left w:val="single" w:sz="4" w:space="0" w:color="auto"/>
              <w:right w:val="single" w:sz="4" w:space="0" w:color="auto"/>
            </w:tcBorders>
            <w:vAlign w:val="center"/>
          </w:tcPr>
          <w:p/>
        </w:tc>
        <w:tc>
          <w:tcPr>
            <w:tcW w:w="458" w:type="pct"/>
            <w:vMerge/>
            <w:tcBorders>
              <w:top w:val="single" w:sz="4" w:space="0" w:color="auto"/>
              <w:left w:val="single" w:sz="4" w:space="0" w:color="auto"/>
              <w:right w:val="single" w:sz="4" w:space="0" w:color="auto"/>
            </w:tcBorders>
          </w:tcP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szCs w:val="21"/>
              </w:rPr>
            </w:pPr>
            <w:r>
              <w:rPr>
                <w:rFonts w:ascii="Times New Roman" w:eastAsia="宋体" w:cs="Times New Roman" w:hAnsi="Times New Roman" w:hint="eastAsia"/>
                <w:szCs w:val="21"/>
              </w:rPr>
              <w:t>9）工程施工的重点和难点及保证措施（满分5分）</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优（5分）：针对本工程的特点，阐述本工程的重点和难点清晰、合理，解决重点和难点问题的方法较合理。 </w:t>
            </w:r>
          </w:p>
          <w:p>
            <w:pPr>
              <w:rPr>
                <w:rFonts w:ascii="Times New Roman" w:eastAsia="宋体" w:cs="Times New Roman" w:hAnsi="Times New Roman" w:hint="eastAsia"/>
                <w:szCs w:val="21"/>
              </w:rPr>
            </w:pPr>
            <w:r>
              <w:rPr>
                <w:rFonts w:ascii="Times New Roman" w:eastAsia="宋体" w:cs="Times New Roman" w:hAnsi="Times New Roman" w:hint="eastAsia"/>
                <w:szCs w:val="21"/>
              </w:rPr>
              <w:t xml:space="preserve">良（3分）：针对本工程的特点，阐述本工程的重点和难点基本清晰、合理，解决重点和难点问题的方法基本合理。 </w:t>
            </w:r>
          </w:p>
          <w:p>
            <w:pPr>
              <w:rPr>
                <w:szCs w:val="21"/>
              </w:rPr>
            </w:pPr>
            <w:r>
              <w:rPr>
                <w:rFonts w:ascii="Times New Roman" w:eastAsia="宋体" w:cs="Times New Roman" w:hAnsi="Times New Roman" w:hint="eastAsia"/>
                <w:szCs w:val="21"/>
              </w:rPr>
              <w:t>差（1分）：针对本工程的特点，阐述本工程的重点和难点不清晰、不合理，无解决重点和难点问题的方法。</w:t>
            </w:r>
          </w:p>
        </w:tc>
        <w:tc>
          <w:tcPr>
            <w:tcW w:w="352" w:type="pct"/>
            <w:tcBorders>
              <w:top w:val="single" w:sz="4" w:space="0" w:color="auto"/>
              <w:left w:val="single" w:sz="4" w:space="0" w:color="auto"/>
              <w:right w:val="single" w:sz="4" w:space="0" w:color="auto"/>
            </w:tcBorders>
            <w:vAlign w:val="center"/>
          </w:tcPr>
          <w:p>
            <w:pPr>
              <w:jc w:val="center"/>
              <w:rPr>
                <w:rFonts w:eastAsia="宋体" w:hint="eastAsia"/>
                <w:szCs w:val="21"/>
                <w:lang w:eastAsia="zh-CN"/>
              </w:rPr>
            </w:pPr>
            <w:r>
              <w:rPr>
                <w:rFonts w:hint="eastAsia"/>
                <w:szCs w:val="21"/>
                <w:lang w:val="en-US" w:eastAsia="zh-CN"/>
              </w:rPr>
              <w:t>5</w:t>
            </w:r>
          </w:p>
        </w:tc>
        <w:tc>
          <w:tcPr>
            <w:tcW w:w="390" w:type="pct"/>
            <w:tcBorders>
              <w:top w:val="single" w:sz="4" w:space="0" w:color="auto"/>
              <w:left w:val="single" w:sz="4" w:space="0" w:color="auto"/>
              <w:right w:val="single" w:sz="4" w:space="0" w:color="auto"/>
            </w:tcBorders>
            <w:vAlign w:val="center"/>
          </w:tcPr>
          <w:p>
            <w:pPr>
              <w:rPr>
                <w:szCs w:val="21"/>
              </w:rPr>
            </w:pPr>
          </w:p>
        </w:tc>
      </w:tr>
      <w:tr>
        <w:trPr>
          <w:trHeight w:val="1073"/>
        </w:trPr>
        <w:tc>
          <w:tcPr>
            <w:tcW w:w="268" w:type="pct"/>
            <w:tcBorders>
              <w:top w:val="single" w:sz="4" w:space="0" w:color="auto"/>
              <w:left w:val="single" w:sz="4" w:space="0" w:color="auto"/>
              <w:right w:val="single" w:sz="4" w:space="0" w:color="auto"/>
            </w:tcBorders>
            <w:vAlign w:val="center"/>
          </w:tcPr>
          <w:p>
            <w:pPr>
              <w:jc w:val="center"/>
              <w:rPr>
                <w:b/>
                <w:szCs w:val="21"/>
              </w:rPr>
            </w:pPr>
            <w:r>
              <w:rPr>
                <w:rFonts w:hint="eastAsia"/>
                <w:b/>
                <w:szCs w:val="21"/>
              </w:rPr>
              <w:t>2</w:t>
            </w:r>
          </w:p>
        </w:tc>
        <w:tc>
          <w:tcPr>
            <w:tcW w:w="376" w:type="pct"/>
            <w:tcBorders>
              <w:top w:val="single" w:sz="4" w:space="0" w:color="auto"/>
              <w:left w:val="single" w:sz="4" w:space="0" w:color="auto"/>
              <w:right w:val="single" w:sz="4" w:space="0" w:color="auto"/>
            </w:tcBorders>
            <w:vAlign w:val="center"/>
          </w:tcPr>
          <w:p>
            <w:pPr>
              <w:jc w:val="center"/>
              <w:rPr>
                <w:szCs w:val="21"/>
              </w:rPr>
            </w:pPr>
            <w:r>
              <w:rPr>
                <w:rFonts w:ascii="Arial" w:cs="Arial" w:hAnsi="Arial"/>
                <w:szCs w:val="21"/>
              </w:rPr>
              <w:t>商务</w:t>
            </w:r>
            <w:r>
              <w:rPr>
                <w:rFonts w:hint="eastAsia"/>
                <w:szCs w:val="21"/>
              </w:rPr>
              <w:t>分</w:t>
            </w:r>
          </w:p>
        </w:tc>
        <w:tc>
          <w:tcPr>
            <w:tcW w:w="458" w:type="pct"/>
            <w:tcBorders>
              <w:top w:val="single" w:sz="4" w:space="0" w:color="auto"/>
              <w:left w:val="single" w:sz="4" w:space="0" w:color="auto"/>
              <w:right w:val="single" w:sz="4" w:space="0" w:color="auto"/>
            </w:tcBorders>
            <w:vAlign w:val="center"/>
          </w:tcPr>
          <w:p>
            <w:pPr>
              <w:spacing w:line="320" w:lineRule="exact"/>
              <w:jc w:val="center"/>
              <w:rPr>
                <w:rFonts w:ascii="Arial" w:cs="Arial" w:hAnsi="Arial"/>
                <w:szCs w:val="21"/>
              </w:rPr>
            </w:pPr>
            <w:r>
              <w:rPr>
                <w:rFonts w:ascii="Arial" w:cs="Arial" w:hAnsi="Arial" w:hint="eastAsia"/>
                <w:szCs w:val="21"/>
              </w:rPr>
              <w:t>企业业绩分</w:t>
            </w:r>
          </w:p>
        </w:tc>
        <w:tc>
          <w:tcPr>
            <w:tcW w:w="3154" w:type="pct"/>
            <w:tcBorders>
              <w:top w:val="single" w:sz="4" w:space="0" w:color="auto"/>
              <w:left w:val="single" w:sz="4" w:space="0" w:color="auto"/>
              <w:right w:val="single" w:sz="4" w:space="0" w:color="auto"/>
            </w:tcBorders>
            <w:vAlign w:val="center"/>
          </w:tcPr>
          <w:p>
            <w:pPr>
              <w:rPr>
                <w:rFonts w:ascii="Times New Roman" w:eastAsia="宋体" w:cs="Times New Roman" w:hAnsi="Times New Roman" w:hint="eastAsia"/>
                <w:szCs w:val="21"/>
              </w:rPr>
            </w:pPr>
            <w:r>
              <w:rPr>
                <w:rFonts w:ascii="Times New Roman" w:eastAsia="宋体" w:cs="Times New Roman" w:hAnsi="Times New Roman" w:hint="eastAsia"/>
                <w:szCs w:val="21"/>
              </w:rPr>
              <w:t>供应商自2022年1月1日以来（以竣工验收报告时间为准），完成过具有同类项目业绩的（同类项目指建筑工程类施工项目），每个得</w:t>
            </w:r>
            <w:r>
              <w:rPr>
                <w:rFonts w:ascii="Times New Roman" w:eastAsia="宋体" w:cs="Times New Roman" w:hAnsi="Times New Roman" w:hint="eastAsia"/>
                <w:szCs w:val="21"/>
                <w:lang w:val="en-US" w:eastAsia="zh-CN"/>
              </w:rPr>
              <w:t>2.5</w:t>
            </w:r>
            <w:r>
              <w:rPr>
                <w:rFonts w:ascii="Times New Roman" w:eastAsia="宋体" w:cs="Times New Roman" w:hAnsi="Times New Roman" w:hint="eastAsia"/>
                <w:szCs w:val="21"/>
              </w:rPr>
              <w:t>分，满分10分。</w:t>
            </w:r>
          </w:p>
          <w:p>
            <w:pPr>
              <w:rPr>
                <w:rFonts w:ascii="Arial" w:cs="Arial" w:hAnsi="Arial"/>
                <w:szCs w:val="21"/>
              </w:rPr>
            </w:pPr>
            <w:r>
              <w:rPr>
                <w:rFonts w:ascii="Times New Roman" w:eastAsia="宋体" w:cs="Times New Roman" w:hAnsi="Times New Roman" w:hint="eastAsia"/>
                <w:szCs w:val="21"/>
              </w:rPr>
              <w:t>注：需在响应文件中提供中标（成交）通知书或施工合同、竣工验收证明材料复印件并加盖供应商公章，不提供或提供不齐全不得分。</w:t>
            </w:r>
          </w:p>
        </w:tc>
        <w:tc>
          <w:tcPr>
            <w:tcW w:w="352" w:type="pct"/>
            <w:tcBorders>
              <w:top w:val="single" w:sz="4" w:space="0" w:color="auto"/>
              <w:left w:val="single" w:sz="4" w:space="0" w:color="auto"/>
              <w:right w:val="single" w:sz="4" w:space="0" w:color="auto"/>
            </w:tcBorders>
            <w:vAlign w:val="center"/>
          </w:tcPr>
          <w:p>
            <w:pPr>
              <w:jc w:val="center"/>
              <w:rPr>
                <w:rFonts w:eastAsia="宋体"/>
                <w:szCs w:val="21"/>
                <w:lang w:val="en-US" w:eastAsia="zh-CN"/>
              </w:rPr>
            </w:pPr>
            <w:r>
              <w:rPr>
                <w:rFonts w:hint="eastAsia"/>
                <w:szCs w:val="21"/>
                <w:lang w:val="en-US" w:eastAsia="zh-CN"/>
              </w:rPr>
              <w:t>10</w:t>
            </w:r>
          </w:p>
        </w:tc>
        <w:tc>
          <w:tcPr>
            <w:tcW w:w="390" w:type="pct"/>
            <w:tcBorders>
              <w:top w:val="single" w:sz="4" w:space="0" w:color="auto"/>
              <w:left w:val="single" w:sz="4" w:space="0" w:color="auto"/>
              <w:right w:val="single" w:sz="4" w:space="0" w:color="auto"/>
            </w:tcBorders>
            <w:vAlign w:val="center"/>
          </w:tcPr>
          <w:p>
            <w:pPr>
              <w:rPr>
                <w:szCs w:val="21"/>
              </w:rPr>
            </w:pPr>
          </w:p>
        </w:tc>
      </w:tr>
    </w:tbl>
    <w:p>
      <w:pPr>
        <w:ind w:firstLineChars="200" w:firstLine="420"/>
      </w:pPr>
    </w:p>
    <w:p>
      <w:pPr>
        <w:ind w:firstLineChars="150" w:firstLine="315"/>
        <w:rPr>
          <w:lang w:val="zh-CN"/>
        </w:rPr>
      </w:pPr>
      <w:r>
        <w:rPr>
          <w:rFonts w:hint="eastAsia"/>
          <w:lang w:val="zh-CN"/>
        </w:rPr>
        <w:t>（2）最后报价分</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9"/>
        <w:gridCol w:w="2127"/>
        <w:gridCol w:w="3608"/>
        <w:gridCol w:w="819"/>
        <w:gridCol w:w="2197"/>
      </w:tblGrid>
      <w:tr>
        <w:trPr>
          <w:cantSplit/>
          <w:trHeight w:val="402"/>
        </w:trPr>
        <w:tc>
          <w:tcPr>
            <w:tcW w:w="428" w:type="pct"/>
            <w:tcBorders>
              <w:left w:val="single" w:sz="4" w:space="0" w:color="auto"/>
              <w:right w:val="single" w:sz="4" w:space="0" w:color="auto"/>
            </w:tcBorders>
            <w:vAlign w:val="center"/>
          </w:tcPr>
          <w:p>
            <w:pPr>
              <w:jc w:val="center"/>
              <w:rPr>
                <w:b/>
                <w:szCs w:val="21"/>
              </w:rPr>
            </w:pPr>
            <w:r>
              <w:rPr>
                <w:b/>
                <w:szCs w:val="21"/>
              </w:rPr>
              <w:t>序号</w:t>
            </w:r>
          </w:p>
        </w:tc>
        <w:tc>
          <w:tcPr>
            <w:tcW w:w="1111" w:type="pct"/>
            <w:tcBorders>
              <w:left w:val="single" w:sz="4" w:space="0" w:color="auto"/>
              <w:right w:val="single" w:sz="4" w:space="0" w:color="auto"/>
            </w:tcBorders>
            <w:vAlign w:val="center"/>
          </w:tcPr>
          <w:p>
            <w:pPr>
              <w:jc w:val="center"/>
              <w:rPr>
                <w:b/>
                <w:szCs w:val="21"/>
              </w:rPr>
            </w:pPr>
            <w:r>
              <w:rPr>
                <w:rFonts w:hint="eastAsia"/>
                <w:b/>
                <w:szCs w:val="21"/>
              </w:rPr>
              <w:t>类型</w:t>
            </w:r>
          </w:p>
        </w:tc>
        <w:tc>
          <w:tcPr>
            <w:tcW w:w="1885" w:type="pct"/>
            <w:tcBorders>
              <w:left w:val="single" w:sz="4" w:space="0" w:color="auto"/>
              <w:right w:val="single" w:sz="4" w:space="0" w:color="auto"/>
            </w:tcBorders>
            <w:vAlign w:val="center"/>
          </w:tcPr>
          <w:p>
            <w:pPr>
              <w:jc w:val="center"/>
              <w:rPr>
                <w:b/>
                <w:szCs w:val="21"/>
              </w:rPr>
            </w:pPr>
            <w:r>
              <w:rPr>
                <w:rFonts w:hint="eastAsia"/>
                <w:b/>
                <w:szCs w:val="21"/>
              </w:rPr>
              <w:t>评分标准</w:t>
            </w:r>
          </w:p>
        </w:tc>
        <w:tc>
          <w:tcPr>
            <w:tcW w:w="428" w:type="pct"/>
            <w:tcBorders>
              <w:left w:val="single" w:sz="4" w:space="0" w:color="auto"/>
              <w:right w:val="single" w:sz="4" w:space="0" w:color="auto"/>
            </w:tcBorders>
            <w:vAlign w:val="center"/>
          </w:tcPr>
          <w:p>
            <w:pPr>
              <w:jc w:val="center"/>
              <w:rPr>
                <w:b/>
                <w:szCs w:val="21"/>
              </w:rPr>
            </w:pPr>
            <w:r>
              <w:rPr>
                <w:rFonts w:hint="eastAsia"/>
                <w:b/>
                <w:szCs w:val="21"/>
              </w:rPr>
              <w:t>分值权重</w:t>
            </w:r>
          </w:p>
        </w:tc>
        <w:tc>
          <w:tcPr>
            <w:tcW w:w="1148" w:type="pct"/>
            <w:tcBorders>
              <w:left w:val="single" w:sz="4" w:space="0" w:color="auto"/>
              <w:right w:val="single" w:sz="4" w:space="0" w:color="auto"/>
            </w:tcBorders>
            <w:vAlign w:val="center"/>
          </w:tcPr>
          <w:p>
            <w:pPr>
              <w:jc w:val="center"/>
              <w:rPr>
                <w:b/>
                <w:szCs w:val="21"/>
              </w:rPr>
            </w:pPr>
            <w:r>
              <w:rPr>
                <w:b/>
                <w:szCs w:val="21"/>
              </w:rPr>
              <w:t>说明</w:t>
            </w:r>
          </w:p>
        </w:tc>
      </w:tr>
      <w:tr>
        <w:trPr>
          <w:cantSplit/>
          <w:trHeight w:val="402"/>
        </w:trPr>
        <w:tc>
          <w:tcPr>
            <w:tcW w:w="428" w:type="pct"/>
            <w:tcBorders>
              <w:top w:val="single" w:sz="4" w:space="0" w:color="auto"/>
              <w:left w:val="single" w:sz="4" w:space="0" w:color="auto"/>
              <w:right w:val="single" w:sz="4" w:space="0" w:color="auto"/>
            </w:tcBorders>
            <w:vAlign w:val="center"/>
          </w:tcPr>
          <w:p>
            <w:pPr>
              <w:jc w:val="center"/>
              <w:rPr>
                <w:b/>
                <w:szCs w:val="21"/>
              </w:rPr>
            </w:pPr>
            <w:r>
              <w:rPr>
                <w:rFonts w:hint="eastAsia"/>
                <w:b/>
                <w:szCs w:val="21"/>
              </w:rPr>
              <w:t>1</w:t>
            </w:r>
          </w:p>
        </w:tc>
        <w:tc>
          <w:tcPr>
            <w:tcW w:w="1111" w:type="pct"/>
            <w:tcBorders>
              <w:top w:val="single" w:sz="4" w:space="0" w:color="auto"/>
              <w:left w:val="single" w:sz="4" w:space="0" w:color="auto"/>
              <w:right w:val="single" w:sz="4" w:space="0" w:color="auto"/>
            </w:tcBorders>
            <w:vAlign w:val="center"/>
          </w:tcPr>
          <w:p>
            <w:pPr>
              <w:rPr>
                <w:szCs w:val="21"/>
              </w:rPr>
            </w:pPr>
            <w:r>
              <w:rPr>
                <w:rFonts w:hint="eastAsia"/>
                <w:szCs w:val="21"/>
              </w:rPr>
              <w:t>响应报价分</w:t>
            </w:r>
          </w:p>
        </w:tc>
        <w:tc>
          <w:tcPr>
            <w:tcW w:w="1885" w:type="pct"/>
            <w:tcBorders>
              <w:top w:val="single" w:sz="4" w:space="0" w:color="auto"/>
              <w:left w:val="single" w:sz="4" w:space="0" w:color="auto"/>
              <w:right w:val="single" w:sz="4" w:space="0" w:color="auto"/>
            </w:tcBorders>
            <w:vAlign w:val="center"/>
          </w:tcPr>
          <w:p>
            <w:pPr>
              <w:rPr>
                <w:szCs w:val="21"/>
              </w:rPr>
            </w:pPr>
            <w:r>
              <w:rPr>
                <w:rFonts w:hint="eastAsia"/>
                <w:szCs w:val="21"/>
              </w:rPr>
              <w:t>以满足采购文件要求且响应价格最低的响应报价为评标基准价，其价格分为满分。其他供应商的价格分统一按照下列公式计算：响应报价得分</w:t>
            </w:r>
            <w:r>
              <w:rPr>
                <w:szCs w:val="21"/>
              </w:rPr>
              <w:t>=（评标基准价/</w:t>
            </w:r>
            <w:r>
              <w:rPr>
                <w:rFonts w:hint="eastAsia"/>
                <w:szCs w:val="21"/>
              </w:rPr>
              <w:t>响应</w:t>
            </w:r>
            <w:r>
              <w:rPr>
                <w:szCs w:val="21"/>
              </w:rPr>
              <w:t>报价）×</w:t>
            </w:r>
            <w:r>
              <w:rPr>
                <w:rFonts w:hint="eastAsia"/>
                <w:szCs w:val="21"/>
              </w:rPr>
              <w:t>响应</w:t>
            </w:r>
            <w:r>
              <w:rPr>
                <w:szCs w:val="21"/>
              </w:rPr>
              <w:t>报价分满分分值。</w:t>
            </w:r>
          </w:p>
        </w:tc>
        <w:tc>
          <w:tcPr>
            <w:tcW w:w="428" w:type="pct"/>
            <w:tcBorders>
              <w:top w:val="single" w:sz="4" w:space="0" w:color="auto"/>
              <w:left w:val="single" w:sz="4" w:space="0" w:color="auto"/>
              <w:right w:val="single" w:sz="4" w:space="0" w:color="auto"/>
            </w:tcBorders>
            <w:vAlign w:val="center"/>
          </w:tcPr>
          <w:p>
            <w:pPr>
              <w:rPr>
                <w:rFonts w:eastAsia="宋体"/>
                <w:szCs w:val="21"/>
                <w:lang w:val="en-US" w:eastAsia="zh-CN"/>
              </w:rPr>
            </w:pPr>
            <w:r>
              <w:rPr>
                <w:rFonts w:hint="eastAsia"/>
                <w:szCs w:val="21"/>
                <w:lang w:val="en-US" w:eastAsia="zh-CN"/>
              </w:rPr>
              <w:t>30</w:t>
            </w:r>
          </w:p>
        </w:tc>
        <w:tc>
          <w:tcPr>
            <w:tcW w:w="1148" w:type="pct"/>
            <w:tcBorders>
              <w:top w:val="single" w:sz="4" w:space="0" w:color="auto"/>
              <w:left w:val="single" w:sz="4" w:space="0" w:color="auto"/>
              <w:right w:val="single" w:sz="4" w:space="0" w:color="auto"/>
            </w:tcBorders>
            <w:vAlign w:val="center"/>
          </w:tcPr>
          <w:p>
            <w:pPr>
              <w:rPr>
                <w:szCs w:val="21"/>
              </w:rPr>
            </w:pPr>
            <w:r>
              <w:rPr>
                <w:rFonts w:hint="eastAsia"/>
                <w:szCs w:val="21"/>
              </w:rPr>
              <w:t>响应报价计算时均为供应商的实际响应报价进行政策性扣除后的价格，最终中标金额＝响应报价。政策性扣除计算方法见后。</w:t>
            </w:r>
          </w:p>
        </w:tc>
      </w:tr>
    </w:tbl>
    <w:p>
      <w:pPr>
        <w:spacing w:before="120" w:line="320" w:lineRule="atLeast"/>
        <w:ind w:firstLineChars="150" w:firstLine="315"/>
        <w:rPr>
          <w:b/>
          <w:bCs/>
          <w:szCs w:val="21"/>
        </w:rPr>
      </w:pPr>
      <w:bookmarkStart w:id="97" w:name="_Hlk133576431"/>
      <w:r>
        <w:rPr>
          <w:rFonts w:hint="eastAsia"/>
          <w:b/>
          <w:bCs/>
          <w:kern w:val="0"/>
          <w:szCs w:val="21"/>
        </w:rPr>
        <w:t>注：</w:t>
      </w:r>
      <w:r>
        <w:rPr>
          <w:b/>
          <w:bCs/>
          <w:kern w:val="0"/>
          <w:szCs w:val="21"/>
        </w:rPr>
        <w:t>政策性扣除计算方法</w:t>
      </w:r>
    </w:p>
    <w:p>
      <w:pPr>
        <w:spacing w:before="120" w:line="320" w:lineRule="atLeast"/>
        <w:ind w:firstLineChars="200" w:firstLine="420"/>
        <w:rPr>
          <w:szCs w:val="21"/>
        </w:rPr>
      </w:pPr>
      <w:r>
        <w:rPr>
          <w:rFonts w:hint="eastAsia"/>
          <w:szCs w:val="21"/>
        </w:rPr>
        <w:t>供应商响应</w:t>
      </w:r>
      <w:r>
        <w:rPr>
          <w:szCs w:val="21"/>
        </w:rPr>
        <w:t>报价将按相应比例进行扣除，用扣除后的价格参与评审（计算价格分）</w:t>
      </w:r>
      <w:r>
        <w:rPr>
          <w:rFonts w:hint="eastAsia"/>
          <w:szCs w:val="21"/>
        </w:rPr>
        <w:t>，价格扣除比例分别如下：</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22"/>
        <w:gridCol w:w="5718"/>
        <w:gridCol w:w="2475"/>
      </w:tblGrid>
      <w:tr>
        <w:tc>
          <w:tcPr>
            <w:tcW w:w="1122" w:type="dxa"/>
            <w:tcBorders>
              <w:left w:val="single" w:sz="4" w:space="0" w:color="auto"/>
              <w:right w:val="single" w:sz="4" w:space="0" w:color="auto"/>
            </w:tcBorders>
          </w:tcPr>
          <w:p>
            <w:pPr>
              <w:spacing w:before="120" w:line="320" w:lineRule="atLeast"/>
              <w:jc w:val="center"/>
              <w:rPr>
                <w:szCs w:val="21"/>
              </w:rPr>
            </w:pPr>
            <w:r>
              <w:rPr>
                <w:rFonts w:hint="eastAsia"/>
                <w:szCs w:val="21"/>
              </w:rPr>
              <w:t>独立响应</w:t>
            </w:r>
          </w:p>
        </w:tc>
        <w:tc>
          <w:tcPr>
            <w:tcW w:w="5718" w:type="dxa"/>
            <w:tcBorders>
              <w:left w:val="single" w:sz="4" w:space="0" w:color="auto"/>
              <w:right w:val="single" w:sz="4" w:space="0" w:color="auto"/>
            </w:tcBorders>
          </w:tcPr>
          <w:p>
            <w:pPr>
              <w:spacing w:before="120" w:line="320" w:lineRule="atLeast"/>
              <w:rPr>
                <w:szCs w:val="21"/>
              </w:rPr>
            </w:pPr>
            <w:r>
              <w:rPr>
                <w:rFonts w:hint="eastAsia"/>
                <w:szCs w:val="21"/>
              </w:rPr>
              <w:t>供应商均为所列企业之一（小型企业、微型企业、残疾人福利企业、监狱企业）</w:t>
            </w:r>
          </w:p>
        </w:tc>
        <w:tc>
          <w:tcPr>
            <w:tcW w:w="2475" w:type="dxa"/>
            <w:tcBorders>
              <w:left w:val="single" w:sz="4" w:space="0" w:color="auto"/>
              <w:right w:val="single" w:sz="4" w:space="0" w:color="auto"/>
            </w:tcBorders>
          </w:tcPr>
          <w:p>
            <w:pPr>
              <w:spacing w:before="120" w:line="320" w:lineRule="atLeast"/>
              <w:rPr>
                <w:szCs w:val="21"/>
              </w:rPr>
            </w:pPr>
            <w:r>
              <w:rPr>
                <w:rFonts w:hint="eastAsia"/>
                <w:szCs w:val="21"/>
              </w:rPr>
              <w:t>价格扣除响应报价的</w:t>
            </w:r>
            <w:r>
              <w:rPr>
                <w:szCs w:val="21"/>
              </w:rPr>
              <w:t>3</w:t>
            </w:r>
            <w:r>
              <w:rPr>
                <w:rFonts w:hint="eastAsia"/>
                <w:szCs w:val="21"/>
              </w:rPr>
              <w:t>%</w:t>
            </w:r>
          </w:p>
        </w:tc>
      </w:tr>
      <w:tr>
        <w:tc>
          <w:tcPr>
            <w:tcW w:w="1122" w:type="dxa"/>
            <w:vMerge w:val="restart"/>
            <w:tcBorders>
              <w:top w:val="single" w:sz="4" w:space="0" w:color="auto"/>
              <w:left w:val="single" w:sz="4" w:space="0" w:color="auto"/>
              <w:right w:val="single" w:sz="4" w:space="0" w:color="auto"/>
            </w:tcBorders>
          </w:tcPr>
          <w:p>
            <w:pPr>
              <w:spacing w:before="120" w:line="320" w:lineRule="atLeast"/>
              <w:jc w:val="center"/>
              <w:rPr>
                <w:szCs w:val="21"/>
              </w:rPr>
            </w:pPr>
            <w:r>
              <w:rPr>
                <w:rFonts w:hint="eastAsia"/>
                <w:szCs w:val="21"/>
              </w:rPr>
              <w:t>联合体或</w:t>
            </w:r>
          </w:p>
          <w:p>
            <w:pPr>
              <w:spacing w:before="120" w:line="320" w:lineRule="atLeast"/>
              <w:jc w:val="center"/>
              <w:rPr>
                <w:szCs w:val="21"/>
              </w:rPr>
            </w:pPr>
            <w:r>
              <w:rPr>
                <w:rFonts w:hint="eastAsia"/>
                <w:szCs w:val="21"/>
              </w:rPr>
              <w:t>分包</w:t>
            </w:r>
          </w:p>
        </w:tc>
        <w:tc>
          <w:tcPr>
            <w:tcW w:w="5718"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小微企业承建的金额比例为1</w:t>
            </w:r>
            <w:r>
              <w:rPr>
                <w:szCs w:val="21"/>
              </w:rPr>
              <w:t>00</w:t>
            </w:r>
            <w:r>
              <w:rPr>
                <w:rFonts w:hint="eastAsia"/>
                <w:szCs w:val="21"/>
              </w:rPr>
              <w:t>%</w:t>
            </w:r>
          </w:p>
        </w:tc>
        <w:tc>
          <w:tcPr>
            <w:tcW w:w="2475"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价格扣除响应报价的</w:t>
            </w:r>
            <w:r>
              <w:rPr>
                <w:szCs w:val="21"/>
              </w:rPr>
              <w:t>3</w:t>
            </w:r>
            <w:r>
              <w:rPr>
                <w:rFonts w:hint="eastAsia"/>
                <w:szCs w:val="21"/>
              </w:rPr>
              <w:t>%</w:t>
            </w:r>
          </w:p>
        </w:tc>
      </w:tr>
      <w:tr>
        <w:tc>
          <w:tcPr>
            <w:tcW w:w="1122" w:type="dxa"/>
            <w:vMerge/>
            <w:tcBorders>
              <w:top w:val="single" w:sz="4" w:space="0" w:color="auto"/>
              <w:left w:val="single" w:sz="4" w:space="0" w:color="auto"/>
              <w:right w:val="single" w:sz="4" w:space="0" w:color="auto"/>
            </w:tcBorders>
          </w:tcPr>
          <w:p/>
        </w:tc>
        <w:tc>
          <w:tcPr>
            <w:tcW w:w="5718"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小微企业承建的金额比例达到合同总金额3</w:t>
            </w:r>
            <w:r>
              <w:rPr>
                <w:szCs w:val="21"/>
              </w:rPr>
              <w:t>0%</w:t>
            </w:r>
            <w:r>
              <w:rPr>
                <w:rFonts w:hint="eastAsia"/>
                <w:szCs w:val="21"/>
              </w:rPr>
              <w:t>以上</w:t>
            </w:r>
          </w:p>
        </w:tc>
        <w:tc>
          <w:tcPr>
            <w:tcW w:w="2475" w:type="dxa"/>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价格扣除响应报价的</w:t>
            </w:r>
            <w:r>
              <w:rPr>
                <w:szCs w:val="21"/>
              </w:rPr>
              <w:t>1</w:t>
            </w:r>
            <w:r>
              <w:rPr>
                <w:rFonts w:hint="eastAsia"/>
                <w:szCs w:val="21"/>
              </w:rPr>
              <w:t>%</w:t>
            </w:r>
          </w:p>
        </w:tc>
      </w:tr>
      <w:tr>
        <w:tc>
          <w:tcPr>
            <w:tcW w:w="9315" w:type="dxa"/>
            <w:gridSpan w:val="3"/>
            <w:tcBorders>
              <w:top w:val="single" w:sz="4" w:space="0" w:color="auto"/>
              <w:left w:val="single" w:sz="4" w:space="0" w:color="auto"/>
              <w:right w:val="single" w:sz="4" w:space="0" w:color="auto"/>
            </w:tcBorders>
          </w:tcPr>
          <w:p>
            <w:pPr>
              <w:spacing w:before="120" w:line="320" w:lineRule="atLeast"/>
              <w:rPr>
                <w:szCs w:val="21"/>
              </w:rPr>
            </w:pPr>
            <w:r>
              <w:rPr>
                <w:rFonts w:hint="eastAsia"/>
                <w:szCs w:val="21"/>
              </w:rPr>
              <w:t>注：未提供《中小企业声明函》、《分包意向协议书》或《联合体协议书》或不符合条件的，不享受价格扣除优惠。</w:t>
            </w:r>
          </w:p>
        </w:tc>
      </w:tr>
    </w:tbl>
    <w:p>
      <w:pPr>
        <w:ind w:firstLineChars="200" w:firstLine="420"/>
      </w:pPr>
      <w:bookmarkEnd w:id="97"/>
    </w:p>
    <w:p/>
    <w:p>
      <w:pPr>
        <w:ind w:firstLineChars="150" w:firstLine="315"/>
      </w:pPr>
      <w:r>
        <w:rPr>
          <w:rFonts w:hint="eastAsia"/>
        </w:rPr>
        <w:t>（</w:t>
      </w:r>
      <w:r>
        <w:rPr>
          <w:rFonts w:hint="eastAsia"/>
          <w:lang w:val="en-US" w:eastAsia="zh-CN"/>
        </w:rPr>
        <w:t>3</w:t>
      </w:r>
      <w:r>
        <w:rPr>
          <w:rFonts w:hint="eastAsia"/>
        </w:rPr>
        <w:t>）</w:t>
      </w:r>
      <w:r>
        <w:t>综合得分</w:t>
      </w:r>
    </w:p>
    <w:tbl>
      <w:tblPr>
        <w:jc w:val="center"/>
        <w:tblW w:w="38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3"/>
        <w:gridCol w:w="2389"/>
        <w:gridCol w:w="1939"/>
        <w:gridCol w:w="2219"/>
      </w:tblGrid>
      <w:tr>
        <w:trPr>
          <w:cantSplit/>
          <w:trHeight w:val="402"/>
        </w:trPr>
        <w:tc>
          <w:tcPr>
            <w:tcW w:w="576" w:type="pct"/>
            <w:tcBorders>
              <w:left w:val="single" w:sz="4" w:space="0" w:color="auto"/>
              <w:right w:val="single" w:sz="4" w:space="0" w:color="auto"/>
            </w:tcBorders>
            <w:vAlign w:val="center"/>
          </w:tcPr>
          <w:p>
            <w:pPr>
              <w:jc w:val="center"/>
              <w:rPr>
                <w:b/>
                <w:szCs w:val="21"/>
              </w:rPr>
            </w:pPr>
            <w:r>
              <w:rPr>
                <w:rFonts w:hint="eastAsia"/>
                <w:b/>
                <w:szCs w:val="21"/>
              </w:rPr>
              <w:t>分项</w:t>
            </w:r>
          </w:p>
        </w:tc>
        <w:tc>
          <w:tcPr>
            <w:tcW w:w="1614" w:type="pct"/>
            <w:tcBorders>
              <w:left w:val="single" w:sz="4" w:space="0" w:color="auto"/>
              <w:right w:val="single" w:sz="4" w:space="0" w:color="auto"/>
            </w:tcBorders>
            <w:vAlign w:val="center"/>
          </w:tcPr>
          <w:p>
            <w:pPr>
              <w:jc w:val="center"/>
              <w:rPr>
                <w:b/>
                <w:szCs w:val="21"/>
              </w:rPr>
            </w:pPr>
            <w:r>
              <w:rPr>
                <w:rFonts w:hint="eastAsia"/>
                <w:b/>
                <w:szCs w:val="21"/>
              </w:rPr>
              <w:t>技术及商务资信分</w:t>
            </w:r>
          </w:p>
        </w:tc>
        <w:tc>
          <w:tcPr>
            <w:tcW w:w="1310" w:type="pct"/>
            <w:tcBorders>
              <w:left w:val="single" w:sz="4" w:space="0" w:color="auto"/>
              <w:right w:val="single" w:sz="4" w:space="0" w:color="auto"/>
            </w:tcBorders>
            <w:vAlign w:val="center"/>
          </w:tcPr>
          <w:p>
            <w:pPr>
              <w:jc w:val="center"/>
              <w:rPr>
                <w:b/>
                <w:szCs w:val="21"/>
              </w:rPr>
            </w:pPr>
            <w:r>
              <w:rPr>
                <w:rFonts w:hint="eastAsia"/>
                <w:b/>
                <w:szCs w:val="21"/>
                <w:lang w:val="en-US" w:eastAsia="zh-CN"/>
              </w:rPr>
              <w:t>响应</w:t>
            </w:r>
            <w:r>
              <w:rPr>
                <w:rFonts w:hint="eastAsia"/>
                <w:b/>
                <w:szCs w:val="21"/>
              </w:rPr>
              <w:t>报价得分</w:t>
            </w:r>
          </w:p>
        </w:tc>
        <w:tc>
          <w:tcPr>
            <w:tcW w:w="1499" w:type="pct"/>
            <w:tcBorders>
              <w:left w:val="single" w:sz="4" w:space="0" w:color="auto"/>
              <w:right w:val="single" w:sz="4" w:space="0" w:color="auto"/>
            </w:tcBorders>
            <w:vAlign w:val="center"/>
          </w:tcPr>
          <w:p>
            <w:pPr>
              <w:jc w:val="center"/>
              <w:rPr>
                <w:b/>
                <w:szCs w:val="21"/>
              </w:rPr>
            </w:pPr>
            <w:r>
              <w:rPr>
                <w:rFonts w:hint="eastAsia"/>
                <w:b/>
                <w:szCs w:val="21"/>
              </w:rPr>
              <w:t>总分</w:t>
            </w:r>
          </w:p>
        </w:tc>
      </w:tr>
      <w:tr>
        <w:trPr>
          <w:cantSplit/>
          <w:trHeight w:val="681"/>
        </w:trPr>
        <w:tc>
          <w:tcPr>
            <w:tcW w:w="576" w:type="pct"/>
            <w:tcBorders>
              <w:top w:val="single" w:sz="4" w:space="0" w:color="auto"/>
              <w:left w:val="single" w:sz="4" w:space="0" w:color="auto"/>
              <w:right w:val="single" w:sz="4" w:space="0" w:color="auto"/>
            </w:tcBorders>
            <w:vAlign w:val="center"/>
          </w:tcPr>
          <w:p>
            <w:pPr>
              <w:jc w:val="center"/>
              <w:rPr>
                <w:b/>
                <w:szCs w:val="21"/>
              </w:rPr>
            </w:pPr>
            <w:r>
              <w:rPr>
                <w:rFonts w:hint="eastAsia"/>
                <w:b/>
                <w:szCs w:val="21"/>
              </w:rPr>
              <w:t>分值</w:t>
            </w:r>
          </w:p>
        </w:tc>
        <w:tc>
          <w:tcPr>
            <w:tcW w:w="1614" w:type="pct"/>
            <w:tcBorders>
              <w:top w:val="single" w:sz="4" w:space="0" w:color="auto"/>
              <w:left w:val="single" w:sz="4" w:space="0" w:color="auto"/>
              <w:right w:val="single" w:sz="4" w:space="0" w:color="auto"/>
            </w:tcBorders>
            <w:vAlign w:val="center"/>
          </w:tcPr>
          <w:p>
            <w:pPr>
              <w:jc w:val="center"/>
              <w:rPr>
                <w:rFonts w:eastAsia="宋体"/>
                <w:szCs w:val="21"/>
                <w:lang w:val="en-US" w:eastAsia="zh-CN"/>
              </w:rPr>
            </w:pPr>
            <w:r>
              <w:rPr>
                <w:rFonts w:hint="eastAsia"/>
                <w:szCs w:val="21"/>
                <w:lang w:val="en-US" w:eastAsia="zh-CN"/>
              </w:rPr>
              <w:t>70</w:t>
            </w:r>
          </w:p>
        </w:tc>
        <w:tc>
          <w:tcPr>
            <w:tcW w:w="1310" w:type="pct"/>
            <w:tcBorders>
              <w:top w:val="single" w:sz="4" w:space="0" w:color="auto"/>
              <w:left w:val="single" w:sz="4" w:space="0" w:color="auto"/>
              <w:right w:val="single" w:sz="4" w:space="0" w:color="auto"/>
            </w:tcBorders>
            <w:vAlign w:val="center"/>
          </w:tcPr>
          <w:p>
            <w:pPr>
              <w:jc w:val="center"/>
              <w:rPr>
                <w:rFonts w:eastAsia="宋体"/>
                <w:szCs w:val="21"/>
                <w:lang w:val="en-US" w:eastAsia="zh-CN"/>
              </w:rPr>
            </w:pPr>
            <w:r>
              <w:rPr>
                <w:rFonts w:hint="eastAsia"/>
                <w:szCs w:val="21"/>
                <w:lang w:val="en-US" w:eastAsia="zh-CN"/>
              </w:rPr>
              <w:t>30</w:t>
            </w:r>
          </w:p>
        </w:tc>
        <w:tc>
          <w:tcPr>
            <w:tcW w:w="1499" w:type="pct"/>
            <w:tcBorders>
              <w:top w:val="single" w:sz="4" w:space="0" w:color="auto"/>
              <w:left w:val="single" w:sz="4" w:space="0" w:color="auto"/>
              <w:right w:val="single" w:sz="4" w:space="0" w:color="auto"/>
            </w:tcBorders>
            <w:vAlign w:val="center"/>
          </w:tcPr>
          <w:p>
            <w:pPr>
              <w:jc w:val="center"/>
              <w:rPr>
                <w:szCs w:val="21"/>
              </w:rPr>
            </w:pPr>
            <w:r>
              <w:rPr>
                <w:rFonts w:hint="eastAsia"/>
                <w:szCs w:val="21"/>
              </w:rPr>
              <w:t>10</w:t>
            </w:r>
            <w:r>
              <w:rPr>
                <w:szCs w:val="21"/>
              </w:rPr>
              <w:t>0</w:t>
            </w:r>
          </w:p>
        </w:tc>
      </w:tr>
    </w:tbl>
    <w:p>
      <w:pPr>
        <w:spacing w:before="120" w:line="320" w:lineRule="atLeast"/>
        <w:ind w:firstLineChars="200" w:firstLine="640"/>
        <w:rPr>
          <w:b/>
          <w:sz w:val="32"/>
          <w:szCs w:val="32"/>
        </w:rPr>
        <w:sectPr>
          <w:headerReference w:type="default" r:id="rId13"/>
          <w:headerReference w:type="first" r:id="rId14"/>
          <w:pgSz w:w="11906" w:h="16838"/>
          <w:pgMar w:top="1418" w:right="1133" w:bottom="1246" w:left="1418" w:header="851" w:footer="992" w:gutter="0"/>
          <w:docGrid w:linePitch="312" w:charSpace="0"/>
        </w:sectPr>
      </w:pPr>
    </w:p>
    <w:p>
      <w:pPr>
        <w:pStyle w:val="31"/>
        <w:snapToGrid w:val="0"/>
        <w:spacing w:before="120" w:after="120" w:line="320" w:lineRule="exact"/>
        <w:jc w:val="center"/>
        <w:outlineLvl w:val="0"/>
        <w:rPr>
          <w:rFonts w:ascii="Times New Roman" w:cs="Times New Roman" w:hAnsi="Times New Roman"/>
          <w:sz w:val="32"/>
          <w:szCs w:val="32"/>
        </w:rPr>
      </w:pPr>
      <w:bookmarkStart w:id="98" w:name="_Toc20425"/>
      <w:bookmarkStart w:id="99" w:name="_Hlk89190624"/>
      <w:bookmarkEnd w:id="0"/>
      <w:bookmarkEnd w:id="1"/>
      <w:r>
        <w:rPr>
          <w:rFonts w:ascii="Times New Roman" w:cs="Times New Roman" w:hAnsi="Times New Roman"/>
          <w:sz w:val="32"/>
          <w:szCs w:val="32"/>
        </w:rPr>
        <w:t>第</w:t>
      </w:r>
      <w:r>
        <w:rPr>
          <w:rFonts w:ascii="Times New Roman" w:cs="Times New Roman" w:hAnsi="Times New Roman" w:hint="eastAsia"/>
          <w:sz w:val="32"/>
          <w:szCs w:val="32"/>
        </w:rPr>
        <w:t>五</w:t>
      </w:r>
      <w:r>
        <w:rPr>
          <w:rFonts w:ascii="Times New Roman" w:cs="Times New Roman" w:hAnsi="Times New Roman"/>
          <w:sz w:val="32"/>
          <w:szCs w:val="32"/>
        </w:rPr>
        <w:t>章  合同主要条款格式</w:t>
      </w:r>
      <w:bookmarkEnd w:id="98"/>
    </w:p>
    <w:p>
      <w:pPr>
        <w:pStyle w:val="31"/>
        <w:snapToGrid w:val="0"/>
        <w:ind w:left="482" w:hanging="482"/>
        <w:jc w:val="center"/>
        <w:rPr>
          <w:rFonts w:eastAsia="楷体_GB2312"/>
          <w:b/>
          <w:sz w:val="24"/>
          <w:szCs w:val="24"/>
        </w:rPr>
      </w:pPr>
    </w:p>
    <w:p>
      <w:pPr>
        <w:widowControl/>
        <w:jc w:val="left"/>
        <w:rPr>
          <w:rFonts w:ascii="宋体" w:eastAsia="楷体_GB2312" w:cs="Courier New" w:hAnsi="宋体"/>
          <w:b/>
          <w:sz w:val="24"/>
        </w:rPr>
      </w:pPr>
      <w:r>
        <w:rPr>
          <w:rFonts w:eastAsia="楷体_GB2312"/>
          <w:b/>
          <w:sz w:val="24"/>
        </w:rPr>
        <w:br w:type="page"/>
      </w:r>
    </w:p>
    <w:p>
      <w:pPr>
        <w:widowControl/>
        <w:wordWrap w:val="0"/>
        <w:jc w:val="right"/>
        <w:rPr>
          <w:rFonts w:ascii="宋体" w:hint="eastAsia"/>
          <w:b w:val="0"/>
          <w:bCs w:val="0"/>
          <w:color w:val="auto"/>
          <w:sz w:val="22"/>
          <w:szCs w:val="22"/>
          <w:highlight w:val="auto"/>
        </w:rPr>
      </w:pPr>
      <w:bookmarkStart w:id="100" w:name="_Hlk208946027"/>
    </w:p>
    <w:p>
      <w:pPr>
        <w:widowControl/>
        <w:wordWrap w:val="0"/>
        <w:jc w:val="right"/>
        <w:rPr>
          <w:rFonts w:eastAsia="宋体"/>
          <w:b w:val="0"/>
          <w:bCs w:val="0"/>
          <w:color w:val="auto"/>
          <w:sz w:val="22"/>
          <w:szCs w:val="22"/>
          <w:lang w:val="en-US" w:eastAsia="zh-CN"/>
          <w:highlight w:val="auto"/>
        </w:rPr>
      </w:pPr>
      <w:r>
        <w:rPr>
          <w:rFonts w:ascii="宋体" w:hint="eastAsia"/>
          <w:b w:val="0"/>
          <w:bCs w:val="0"/>
          <w:color w:val="auto"/>
          <w:sz w:val="22"/>
          <w:szCs w:val="22"/>
          <w:highlight w:val="auto"/>
        </w:rPr>
        <w:t>合同编号：</w:t>
      </w:r>
      <w:r>
        <w:rPr>
          <w:rFonts w:ascii="宋体" w:hint="eastAsia"/>
          <w:b w:val="0"/>
          <w:bCs w:val="0"/>
          <w:color w:val="auto"/>
          <w:sz w:val="22"/>
          <w:szCs w:val="22"/>
          <w:lang w:val="en-US" w:eastAsia="zh-CN"/>
          <w:highlight w:val="auto"/>
        </w:rPr>
        <w:t xml:space="preserve">          </w:t>
      </w:r>
    </w:p>
    <w:p>
      <w:pPr>
        <w:pStyle w:val="204"/>
        <w:jc w:val="left"/>
        <w:rPr>
          <w:rFonts w:ascii="宋体" w:eastAsia="宋体" w:cs="宋体" w:hint="eastAsia"/>
          <w:b/>
          <w:bCs/>
          <w:color w:val="auto"/>
          <w:sz w:val="48"/>
          <w:szCs w:val="48"/>
          <w:lang w:val="en-US" w:eastAsia="zh-CN"/>
          <w:highlight w:val="auto"/>
        </w:rPr>
      </w:pPr>
    </w:p>
    <w:p>
      <w:pPr>
        <w:tabs>
          <w:tab w:val="left" w:pos="1695"/>
          <w:tab w:val="left" w:pos="3370"/>
          <w:tab w:val="left" w:pos="5555"/>
        </w:tabs>
        <w:autoSpaceDE w:val="0"/>
        <w:autoSpaceDN w:val="0"/>
        <w:adjustRightInd w:val="0"/>
        <w:snapToGrid w:val="0"/>
        <w:spacing w:line="360" w:lineRule="auto"/>
        <w:jc w:val="center"/>
        <w:rPr>
          <w:rFonts w:ascii="宋体"/>
          <w:b/>
          <w:color w:val="auto"/>
          <w:kern w:val="0"/>
          <w:sz w:val="32"/>
          <w:szCs w:val="32"/>
          <w:lang w:val="en-US"/>
          <w:highlight w:val="auto"/>
        </w:rPr>
      </w:pPr>
      <w:r>
        <w:rPr>
          <w:rFonts w:ascii="宋体" w:eastAsia="宋体" w:cs="宋体" w:hint="eastAsia"/>
          <w:b/>
          <w:color w:val="auto"/>
          <w:sz w:val="32"/>
          <w:szCs w:val="32"/>
          <w:lang w:eastAsia="zh-CN"/>
          <w:highlight w:val="auto"/>
        </w:rPr>
        <w:t>（工程名称）</w:t>
      </w: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eastAsia="宋体" w:hint="eastAsia"/>
          <w:color w:val="auto"/>
          <w:sz w:val="72"/>
          <w:szCs w:val="72"/>
          <w:lang w:eastAsia="zh-CN"/>
          <w:highlight w:val="auto"/>
        </w:rPr>
      </w:pPr>
      <w:r>
        <w:rPr>
          <w:rFonts w:ascii="宋体" w:hint="eastAsia"/>
          <w:color w:val="auto"/>
          <w:sz w:val="72"/>
          <w:szCs w:val="72"/>
          <w:lang w:val="en-US" w:eastAsia="zh-CN"/>
          <w:highlight w:val="auto"/>
        </w:rPr>
        <w:t>施工合同</w:t>
      </w: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b/>
          <w:color w:val="auto"/>
          <w:sz w:val="28"/>
          <w:szCs w:val="28"/>
          <w:highlight w:val="auto"/>
        </w:rPr>
      </w:pPr>
    </w:p>
    <w:p>
      <w:pPr>
        <w:jc w:val="center"/>
        <w:rPr>
          <w:rFonts w:ascii="宋体"/>
          <w:b/>
          <w:color w:val="auto"/>
          <w:sz w:val="28"/>
          <w:szCs w:val="28"/>
          <w:highlight w:val="auto"/>
        </w:rPr>
      </w:pPr>
    </w:p>
    <w:p>
      <w:pPr>
        <w:jc w:val="both"/>
        <w:rPr>
          <w:rFonts w:ascii="宋体"/>
          <w:b/>
          <w:color w:val="auto"/>
          <w:sz w:val="28"/>
          <w:szCs w:val="28"/>
          <w:highlight w:val="auto"/>
        </w:rPr>
      </w:pPr>
    </w:p>
    <w:p>
      <w:pPr>
        <w:jc w:val="center"/>
        <w:rPr>
          <w:rFonts w:ascii="宋体"/>
          <w:b/>
          <w:color w:val="auto"/>
          <w:sz w:val="28"/>
          <w:szCs w:val="28"/>
          <w:highlight w:val="auto"/>
        </w:rPr>
      </w:pPr>
    </w:p>
    <w:p>
      <w:pPr>
        <w:rPr>
          <w:rFonts w:ascii="宋体"/>
          <w:b/>
          <w:color w:val="auto"/>
          <w:sz w:val="28"/>
          <w:szCs w:val="28"/>
          <w:highlight w:val="auto"/>
        </w:rPr>
      </w:pPr>
    </w:p>
    <w:p>
      <w:pPr>
        <w:tabs>
          <w:tab w:val="left" w:pos="6300"/>
          <w:tab w:val="left" w:pos="7020"/>
        </w:tabs>
        <w:ind w:firstLine="0"/>
        <w:rPr>
          <w:rFonts w:ascii="宋体"/>
          <w:color w:val="auto"/>
          <w:sz w:val="28"/>
          <w:szCs w:val="28"/>
          <w:u w:val="single"/>
          <w:lang w:val="en-US"/>
          <w:highlight w:val="auto"/>
        </w:rPr>
      </w:pPr>
      <w:r>
        <w:rPr>
          <w:rFonts w:ascii="宋体" w:hint="eastAsia"/>
          <w:color w:val="auto"/>
          <w:sz w:val="28"/>
          <w:szCs w:val="28"/>
          <w:highlight w:val="auto"/>
        </w:rPr>
        <w:t>发包</w:t>
      </w:r>
      <w:r>
        <w:rPr>
          <w:rFonts w:ascii="宋体" w:hint="eastAsia"/>
          <w:color w:val="auto"/>
          <w:sz w:val="28"/>
          <w:szCs w:val="28"/>
          <w:lang w:eastAsia="zh-CN"/>
          <w:highlight w:val="auto"/>
        </w:rPr>
        <w:t>人</w:t>
      </w:r>
      <w:r>
        <w:rPr>
          <w:rFonts w:ascii="宋体" w:hint="eastAsia"/>
          <w:color w:val="auto"/>
          <w:sz w:val="28"/>
          <w:szCs w:val="28"/>
          <w:highlight w:val="auto"/>
        </w:rPr>
        <w:t>：</w:t>
      </w:r>
      <w:r>
        <w:rPr>
          <w:rFonts w:ascii="宋体" w:hint="eastAsia"/>
          <w:color w:val="auto"/>
          <w:sz w:val="28"/>
          <w:szCs w:val="28"/>
          <w:u w:val="single"/>
          <w:lang w:val="en-US" w:eastAsia="zh-CN"/>
          <w:highlight w:val="auto"/>
        </w:rPr>
        <w:t xml:space="preserve"> </w:t>
      </w:r>
      <w:r>
        <w:rPr>
          <w:rFonts w:ascii="仿宋" w:eastAsia="仿宋" w:hint="eastAsia"/>
          <w:color w:val="auto"/>
          <w:sz w:val="32"/>
          <w:szCs w:val="32"/>
          <w:u w:val="single"/>
          <w:lang w:eastAsia="zh-CN"/>
          <w:highlight w:val="auto"/>
        </w:rPr>
        <w:t>中华人民共和国友谊关海关</w:t>
      </w:r>
      <w:r>
        <w:rPr>
          <w:rFonts w:ascii="宋体" w:hint="eastAsia"/>
          <w:color w:val="auto"/>
          <w:sz w:val="28"/>
          <w:szCs w:val="28"/>
          <w:u w:val="single"/>
          <w:lang w:val="en-US" w:eastAsia="zh-CN"/>
          <w:highlight w:val="auto"/>
        </w:rPr>
        <w:t xml:space="preserve">  </w:t>
      </w:r>
    </w:p>
    <w:p>
      <w:pPr>
        <w:ind w:firstLine="0"/>
        <w:rPr>
          <w:rFonts w:ascii="宋体"/>
          <w:color w:val="auto"/>
          <w:sz w:val="28"/>
          <w:szCs w:val="28"/>
          <w:lang w:val="en-US"/>
          <w:highlight w:val="auto"/>
        </w:rPr>
      </w:pPr>
      <w:r>
        <w:rPr>
          <w:rFonts w:ascii="宋体" w:hint="eastAsia"/>
          <w:color w:val="auto"/>
          <w:sz w:val="28"/>
          <w:szCs w:val="28"/>
          <w:highlight w:val="auto"/>
        </w:rPr>
        <w:t>承包</w:t>
      </w:r>
      <w:r>
        <w:rPr>
          <w:rFonts w:ascii="宋体" w:hint="eastAsia"/>
          <w:color w:val="auto"/>
          <w:sz w:val="28"/>
          <w:szCs w:val="28"/>
          <w:lang w:eastAsia="zh-CN"/>
          <w:highlight w:val="auto"/>
        </w:rPr>
        <w:t>人</w:t>
      </w:r>
      <w:r>
        <w:rPr>
          <w:rFonts w:ascii="宋体" w:hint="eastAsia"/>
          <w:color w:val="auto"/>
          <w:sz w:val="28"/>
          <w:szCs w:val="28"/>
          <w:highlight w:val="auto"/>
        </w:rPr>
        <w:t>：</w:t>
      </w:r>
      <w:r>
        <w:rPr>
          <w:rFonts w:ascii="宋体" w:hint="eastAsia"/>
          <w:color w:val="auto"/>
          <w:sz w:val="28"/>
          <w:szCs w:val="28"/>
          <w:u w:val="single"/>
          <w:lang w:val="en-US" w:eastAsia="zh-CN"/>
          <w:highlight w:val="auto"/>
        </w:rPr>
        <w:t xml:space="preserve">  </w:t>
      </w:r>
      <w:r>
        <w:rPr>
          <w:rFonts w:ascii="仿宋" w:eastAsia="仿宋" w:hint="eastAsia"/>
          <w:color w:val="auto"/>
          <w:sz w:val="32"/>
          <w:szCs w:val="32"/>
          <w:u w:val="single"/>
          <w:lang w:val="en-US" w:eastAsia="zh-CN"/>
          <w:highlight w:val="auto"/>
        </w:rPr>
        <w:t xml:space="preserve">   </w:t>
      </w:r>
      <w:r>
        <w:rPr>
          <w:rFonts w:ascii="楷体_GB2312" w:eastAsia="楷体_GB2312" w:hint="eastAsia"/>
          <w:color w:val="auto"/>
          <w:sz w:val="28"/>
          <w:szCs w:val="28"/>
          <w:u w:val="single"/>
          <w:lang w:val="en-US" w:eastAsia="zh-CN"/>
          <w:highlight w:val="auto"/>
        </w:rPr>
        <w:t xml:space="preserve">  </w:t>
      </w:r>
      <w:r>
        <w:rPr>
          <w:rFonts w:ascii="宋体" w:hint="eastAsia"/>
          <w:color w:val="auto"/>
          <w:sz w:val="28"/>
          <w:szCs w:val="28"/>
          <w:u w:val="single"/>
          <w:lang w:val="en-US" w:eastAsia="zh-CN"/>
          <w:highlight w:val="auto"/>
        </w:rPr>
        <w:t xml:space="preserve">                           </w:t>
      </w:r>
    </w:p>
    <w:p>
      <w:pPr>
        <w:ind w:firstLineChars="540" w:firstLine="1512"/>
        <w:rPr>
          <w:rFonts w:ascii="宋体"/>
          <w:color w:val="auto"/>
          <w:sz w:val="28"/>
          <w:szCs w:val="28"/>
          <w:u w:val="single"/>
          <w:highlight w:val="auto"/>
        </w:rPr>
      </w:pPr>
      <w:r>
        <w:rPr>
          <w:rFonts w:ascii="宋体" w:hint="eastAsia"/>
          <w:color w:val="auto"/>
          <w:sz w:val="28"/>
          <w:szCs w:val="28"/>
          <w:highlight w:val="auto"/>
        </w:rPr>
        <w:t>签订日期：</w:t>
      </w:r>
      <w:r>
        <w:rPr>
          <w:rFonts w:ascii="宋体" w:hint="eastAsia"/>
          <w:color w:val="auto"/>
          <w:sz w:val="28"/>
          <w:szCs w:val="28"/>
          <w:u w:val="single"/>
          <w:highlight w:val="auto"/>
        </w:rPr>
        <w:t>202</w:t>
      </w:r>
      <w:r>
        <w:rPr>
          <w:rFonts w:ascii="宋体" w:hint="eastAsia"/>
          <w:color w:val="auto"/>
          <w:sz w:val="28"/>
          <w:szCs w:val="28"/>
          <w:u w:val="single"/>
          <w:lang w:val="en-US" w:eastAsia="zh-CN"/>
          <w:highlight w:val="auto"/>
        </w:rPr>
        <w:t>5</w:t>
      </w:r>
      <w:r>
        <w:rPr>
          <w:rFonts w:ascii="宋体" w:hint="eastAsia"/>
          <w:color w:val="auto"/>
          <w:sz w:val="28"/>
          <w:szCs w:val="28"/>
          <w:u w:val="single"/>
          <w:highlight w:val="auto"/>
        </w:rPr>
        <w:t>年</w:t>
      </w:r>
      <w:r>
        <w:rPr>
          <w:rFonts w:ascii="宋体" w:hint="eastAsia"/>
          <w:color w:val="auto"/>
          <w:sz w:val="28"/>
          <w:szCs w:val="28"/>
          <w:u w:val="single"/>
          <w:lang w:val="en-US" w:eastAsia="zh-CN"/>
          <w:highlight w:val="auto"/>
        </w:rPr>
        <w:t xml:space="preserve">  </w:t>
      </w:r>
      <w:r>
        <w:rPr>
          <w:rFonts w:ascii="宋体" w:hint="eastAsia"/>
          <w:color w:val="auto"/>
          <w:sz w:val="28"/>
          <w:szCs w:val="28"/>
          <w:u w:val="single"/>
          <w:highlight w:val="auto"/>
        </w:rPr>
        <w:t>月</w:t>
      </w:r>
      <w:r>
        <w:rPr>
          <w:rFonts w:ascii="宋体" w:hint="eastAsia"/>
          <w:color w:val="auto"/>
          <w:sz w:val="28"/>
          <w:szCs w:val="28"/>
          <w:u w:val="single"/>
          <w:lang w:val="en-US" w:eastAsia="zh-CN"/>
          <w:highlight w:val="auto"/>
        </w:rPr>
        <w:t xml:space="preserve">  </w:t>
      </w:r>
      <w:r>
        <w:rPr>
          <w:rFonts w:ascii="宋体" w:hint="eastAsia"/>
          <w:color w:val="auto"/>
          <w:sz w:val="28"/>
          <w:szCs w:val="28"/>
          <w:u w:val="single"/>
          <w:highlight w:val="auto"/>
        </w:rPr>
        <w:t>日</w:t>
      </w:r>
    </w:p>
    <w:p>
      <w:pPr>
        <w:spacing w:line="440" w:lineRule="exact"/>
        <w:jc w:val="center"/>
        <w:rPr>
          <w:rFonts w:ascii="宋体" w:eastAsia="宋体" w:cs="Times New Roman"/>
          <w:b/>
          <w:color w:val="auto"/>
          <w:sz w:val="32"/>
          <w:szCs w:val="32"/>
          <w:highlight w:val="auto"/>
        </w:rPr>
      </w:pPr>
    </w:p>
    <w:p>
      <w:pPr>
        <w:spacing w:line="440" w:lineRule="exact"/>
        <w:jc w:val="center"/>
        <w:rPr>
          <w:rFonts w:ascii="宋体" w:eastAsia="宋体" w:cs="Times New Roman"/>
          <w:b/>
          <w:color w:val="auto"/>
          <w:sz w:val="32"/>
          <w:szCs w:val="32"/>
          <w:highlight w:val="auto"/>
        </w:rPr>
        <w:sectPr>
          <w:pgSz w:w="11905" w:h="16838"/>
          <w:pgMar w:top="1134" w:right="1417" w:bottom="1417" w:left="1417" w:header="850" w:footer="992" w:gutter="0"/>
          <w:docGrid w:type="lines" w:linePitch="318" w:charSpace="0"/>
        </w:sectPr>
      </w:pPr>
    </w:p>
    <w:p>
      <w:pPr>
        <w:pStyle w:val="1"/>
        <w:spacing w:line="240" w:lineRule="auto"/>
        <w:ind w:firstLine="0"/>
        <w:jc w:val="center"/>
        <w:rPr>
          <w:rFonts w:ascii="宋体" w:eastAsia="宋体" w:cs="宋体" w:hint="eastAsia"/>
          <w:color w:val="auto"/>
          <w:sz w:val="44"/>
          <w:szCs w:val="44"/>
          <w:highlight w:val="auto"/>
        </w:rPr>
      </w:pPr>
      <w:bookmarkStart w:id="101" w:name="_Toc16828"/>
      <w:r>
        <w:rPr>
          <w:rFonts w:ascii="宋体" w:eastAsia="宋体" w:cs="宋体" w:hint="eastAsia"/>
          <w:color w:val="auto"/>
          <w:sz w:val="32"/>
          <w:szCs w:val="32"/>
          <w:highlight w:val="auto"/>
        </w:rPr>
        <w:t>第一部分 合同协议书</w:t>
      </w:r>
      <w:bookmarkEnd w:id="101"/>
    </w:p>
    <w:p>
      <w:pPr>
        <w:rPr>
          <w:color w:val="auto"/>
          <w:highlight w:val="auto"/>
        </w:rPr>
      </w:pPr>
    </w:p>
    <w:p>
      <w:pPr>
        <w:pStyle w:val="366"/>
        <w:widowControl/>
        <w:spacing w:line="360" w:lineRule="auto"/>
        <w:ind w:firstLine="0"/>
        <w:jc w:val="left"/>
        <w:rPr>
          <w:rFonts w:ascii="宋体" w:cs="宋体" w:hint="eastAsia"/>
          <w:bCs/>
          <w:color w:val="auto"/>
          <w:szCs w:val="21"/>
          <w:u w:val="single"/>
          <w:highlight w:val="auto"/>
        </w:rPr>
      </w:pPr>
      <w:r>
        <w:rPr>
          <w:rFonts w:ascii="宋体" w:cs="宋体" w:hint="eastAsia"/>
          <w:bCs/>
          <w:color w:val="auto"/>
          <w:szCs w:val="21"/>
          <w:highlight w:val="auto"/>
        </w:rPr>
        <w:t>发包人（全称）：</w:t>
      </w:r>
      <w:r>
        <w:rPr>
          <w:rFonts w:ascii="宋体" w:cs="宋体" w:hint="eastAsia"/>
          <w:bCs/>
          <w:color w:val="auto"/>
          <w:szCs w:val="21"/>
          <w:u w:val="single"/>
          <w:highlight w:val="auto"/>
        </w:rPr>
        <w:t xml:space="preserve">                                </w:t>
      </w:r>
    </w:p>
    <w:p>
      <w:pPr>
        <w:pStyle w:val="366"/>
        <w:widowControl/>
        <w:spacing w:line="360" w:lineRule="auto"/>
        <w:ind w:firstLine="0"/>
        <w:jc w:val="left"/>
        <w:rPr>
          <w:rFonts w:ascii="宋体" w:cs="宋体" w:hint="eastAsia"/>
          <w:bCs/>
          <w:color w:val="auto"/>
          <w:szCs w:val="21"/>
          <w:highlight w:val="auto"/>
        </w:rPr>
      </w:pPr>
      <w:r>
        <w:rPr>
          <w:rFonts w:ascii="宋体" w:cs="宋体" w:hint="eastAsia"/>
          <w:bCs/>
          <w:color w:val="auto"/>
          <w:szCs w:val="21"/>
          <w:highlight w:val="auto"/>
        </w:rPr>
        <w:t>承包人（全称）：</w:t>
      </w:r>
      <w:r>
        <w:rPr>
          <w:rFonts w:ascii="宋体" w:cs="宋体" w:hint="eastAsia"/>
          <w:bCs/>
          <w:color w:val="auto"/>
          <w:szCs w:val="21"/>
          <w:u w:val="single"/>
          <w:highlight w:val="auto"/>
        </w:rPr>
        <w:t xml:space="preserve">                                </w:t>
      </w:r>
      <w:r>
        <w:rPr>
          <w:rFonts w:ascii="宋体" w:cs="宋体" w:hint="eastAsia"/>
          <w:bCs/>
          <w:color w:val="auto"/>
          <w:szCs w:val="21"/>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根据《中华人民共和国民法典》《中华人民共和国建筑法》及国家、地方、行业等有关法律法规、标准规范及相关规定，遵循平等自愿、公平和诚实信用的原则，</w:t>
      </w:r>
      <w:r>
        <w:rPr>
          <w:rFonts w:ascii="宋体" w:cs="宋体" w:hint="eastAsia"/>
          <w:bCs/>
          <w:color w:val="auto"/>
          <w:szCs w:val="21"/>
          <w:highlight w:val="auto"/>
        </w:rPr>
        <w:t xml:space="preserve">双方就 </w:t>
      </w:r>
      <w:r>
        <w:rPr>
          <w:rFonts w:ascii="宋体" w:cs="宋体" w:hint="eastAsia"/>
          <w:bCs/>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bCs/>
          <w:color w:val="auto"/>
          <w:szCs w:val="21"/>
          <w:u w:val="single"/>
          <w:highlight w:val="auto"/>
        </w:rPr>
        <w:t xml:space="preserve"> </w:t>
      </w:r>
      <w:r>
        <w:rPr>
          <w:rFonts w:ascii="宋体" w:cs="宋体" w:hint="eastAsia"/>
          <w:bCs/>
          <w:color w:val="auto"/>
          <w:szCs w:val="21"/>
          <w:highlight w:val="auto"/>
        </w:rPr>
        <w:t>工程施工及有关事项协商一致，共同达成如下协议：</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一、工程概况</w:t>
      </w:r>
    </w:p>
    <w:p>
      <w:pPr>
        <w:pStyle w:val="366"/>
        <w:widowControl/>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1.工程名称：</w:t>
      </w:r>
      <w:r>
        <w:rPr>
          <w:rFonts w:ascii="宋体" w:cs="宋体" w:hint="eastAsia"/>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2.工程地点：</w:t>
      </w:r>
      <w:r>
        <w:rPr>
          <w:rFonts w:ascii="宋体" w:cs="宋体" w:hint="eastAsia"/>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color w:val="auto"/>
          <w:szCs w:val="21"/>
          <w:u w:val="single"/>
          <w:highlight w:val="auto"/>
        </w:rPr>
      </w:pPr>
      <w:r>
        <w:rPr>
          <w:rFonts w:ascii="宋体" w:cs="宋体" w:hint="eastAsia"/>
          <w:color w:val="auto"/>
          <w:szCs w:val="21"/>
          <w:highlight w:val="auto"/>
        </w:rPr>
        <w:t>3.工程立项批准文号：</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4.资金来源：</w:t>
      </w:r>
      <w:r>
        <w:rPr>
          <w:rFonts w:ascii="宋体" w:cs="宋体" w:hint="eastAsia"/>
          <w:color w:val="auto"/>
          <w:szCs w:val="21"/>
          <w:u w:val="single"/>
          <w:highlight w:val="auto"/>
        </w:rPr>
        <w:t xml:space="preserve"> 国有资金 </w:t>
      </w:r>
    </w:p>
    <w:p>
      <w:pPr>
        <w:pStyle w:val="366"/>
        <w:widowControl/>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5.工程内容：</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6.工程承包范围：</w:t>
      </w:r>
      <w:r>
        <w:rPr>
          <w:rFonts w:ascii="宋体" w:cs="宋体" w:hint="eastAsia"/>
          <w:color w:val="auto"/>
          <w:szCs w:val="21"/>
          <w:u w:val="single"/>
          <w:highlight w:val="auto"/>
        </w:rPr>
        <w:t xml:space="preserve">                                                </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二、合同工期</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计划开工日期：2025年</w:t>
      </w:r>
      <w:r>
        <w:rPr>
          <w:rFonts w:ascii="宋体" w:cs="宋体" w:hint="eastAsia"/>
          <w:color w:val="auto"/>
          <w:szCs w:val="21"/>
          <w:lang w:val="en-US" w:eastAsia="zh-CN"/>
          <w:highlight w:val="auto"/>
        </w:rPr>
        <w:t xml:space="preserve">  </w:t>
      </w:r>
      <w:r>
        <w:rPr>
          <w:rFonts w:ascii="宋体" w:cs="宋体" w:hint="eastAsia"/>
          <w:color w:val="auto"/>
          <w:szCs w:val="21"/>
          <w:highlight w:val="auto"/>
        </w:rPr>
        <w:t>月</w:t>
      </w:r>
      <w:r>
        <w:rPr>
          <w:rFonts w:ascii="宋体" w:cs="宋体" w:hint="eastAsia"/>
          <w:color w:val="auto"/>
          <w:szCs w:val="21"/>
          <w:lang w:val="en-US" w:eastAsia="zh-CN"/>
          <w:highlight w:val="auto"/>
        </w:rPr>
        <w:t xml:space="preserve">  </w:t>
      </w:r>
      <w:r>
        <w:rPr>
          <w:rFonts w:ascii="宋体" w:cs="宋体" w:hint="eastAsia"/>
          <w:color w:val="auto"/>
          <w:szCs w:val="21"/>
          <w:highlight w:val="auto"/>
        </w:rPr>
        <w:t>日。（具体以发包人书面通知或监理人签发的开工令为准）</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计划竣工日期：2026年</w:t>
      </w:r>
      <w:r>
        <w:rPr>
          <w:rFonts w:ascii="宋体" w:cs="宋体" w:hint="eastAsia"/>
          <w:color w:val="auto"/>
          <w:szCs w:val="21"/>
          <w:lang w:val="en-US" w:eastAsia="zh-CN"/>
          <w:highlight w:val="auto"/>
        </w:rPr>
        <w:t xml:space="preserve">  </w:t>
      </w:r>
      <w:r>
        <w:rPr>
          <w:rFonts w:ascii="宋体" w:cs="宋体" w:hint="eastAsia"/>
          <w:color w:val="auto"/>
          <w:szCs w:val="21"/>
          <w:highlight w:val="auto"/>
        </w:rPr>
        <w:t>月</w:t>
      </w:r>
      <w:r>
        <w:rPr>
          <w:rFonts w:ascii="宋体" w:cs="宋体" w:hint="eastAsia"/>
          <w:color w:val="auto"/>
          <w:szCs w:val="21"/>
          <w:lang w:val="en-US" w:eastAsia="zh-CN"/>
          <w:highlight w:val="auto"/>
        </w:rPr>
        <w:t xml:space="preserve">  </w:t>
      </w:r>
      <w:r>
        <w:rPr>
          <w:rFonts w:ascii="宋体" w:cs="宋体" w:hint="eastAsia"/>
          <w:color w:val="auto"/>
          <w:szCs w:val="21"/>
          <w:highlight w:val="auto"/>
        </w:rPr>
        <w:t>日。</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工期总日历天数：   天。工期总日历天数与根据前述计划开竣工日期计算的工期天数不一致的，以工期总日历天数为准。</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三、质量标准</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工程质量符合</w:t>
      </w:r>
      <w:r>
        <w:rPr>
          <w:rFonts w:ascii="宋体" w:cs="宋体" w:hint="eastAsia"/>
          <w:color w:val="auto"/>
          <w:szCs w:val="21"/>
          <w:u w:val="single"/>
          <w:highlight w:val="auto"/>
        </w:rPr>
        <w:t xml:space="preserve"> 合格 </w:t>
      </w:r>
      <w:r>
        <w:rPr>
          <w:rFonts w:ascii="宋体" w:cs="宋体" w:hint="eastAsia"/>
          <w:color w:val="auto"/>
          <w:szCs w:val="21"/>
          <w:highlight w:val="auto"/>
        </w:rPr>
        <w:t>标准。</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四、签约合同价与合同价格形式</w:t>
        <w:tab/>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1.签约合同价暂定为：</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w:t>
      </w:r>
      <w:r>
        <w:rPr>
          <w:rFonts w:ascii="宋体" w:cs="宋体" w:hint="eastAsia"/>
          <w:color w:val="auto"/>
          <w:szCs w:val="21"/>
          <w:highlight w:val="auto"/>
        </w:rPr>
        <w:t>（含税价格） (¥</w:t>
      </w:r>
      <w:r>
        <w:rPr>
          <w:rFonts w:ascii="宋体" w:cs="宋体" w:hint="eastAsia"/>
          <w:color w:val="auto"/>
          <w:szCs w:val="21"/>
          <w:u w:val="single"/>
          <w:highlight w:val="auto"/>
        </w:rPr>
        <w:t xml:space="preserve">                     </w:t>
      </w:r>
      <w:r>
        <w:rPr>
          <w:rFonts w:ascii="宋体" w:cs="宋体" w:hint="eastAsia"/>
          <w:color w:val="auto"/>
          <w:szCs w:val="21"/>
          <w:highlight w:val="auto"/>
        </w:rPr>
        <w:t>元)；除税金额：人民币（大写）:</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元 )；税金：人民币（大写）:</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 xml:space="preserve">元 )，增值税税率为 </w:t>
      </w:r>
      <w:r>
        <w:rPr>
          <w:rFonts w:ascii="宋体" w:cs="宋体" w:hint="eastAsia"/>
          <w:color w:val="auto"/>
          <w:szCs w:val="21"/>
          <w:u w:val="single"/>
          <w:highlight w:val="auto"/>
        </w:rPr>
        <w:t xml:space="preserve">      </w:t>
      </w:r>
      <w:r>
        <w:rPr>
          <w:rFonts w:ascii="宋体" w:cs="宋体" w:hint="eastAsia"/>
          <w:color w:val="auto"/>
          <w:szCs w:val="21"/>
          <w:highlight w:val="auto"/>
        </w:rPr>
        <w:t>%。</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其中：</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（1）安全文明施工费：</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 xml:space="preserve">人民币（大写）: </w:t>
      </w:r>
      <w:r>
        <w:rPr>
          <w:rFonts w:ascii="宋体" w:cs="宋体" w:hint="eastAsia"/>
          <w:color w:val="auto"/>
          <w:szCs w:val="21"/>
          <w:u w:val="single"/>
          <w:highlight w:val="auto"/>
        </w:rPr>
        <w:t xml:space="preserve">                     (</w:t>
      </w:r>
      <w:r>
        <w:rPr>
          <w:rFonts w:ascii="宋体" w:cs="宋体" w:hint="eastAsia"/>
          <w:color w:val="auto"/>
          <w:szCs w:val="21"/>
          <w:highlight w:val="auto"/>
        </w:rPr>
        <w:t>¥</w:t>
      </w:r>
      <w:r>
        <w:rPr>
          <w:rFonts w:ascii="宋体" w:cs="宋体" w:hint="eastAsia"/>
          <w:color w:val="auto"/>
          <w:szCs w:val="21"/>
          <w:u w:val="single"/>
          <w:highlight w:val="auto"/>
        </w:rPr>
        <w:t xml:space="preserve">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（2）材料和工程设备暂估价金额：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（3）专业工程暂估价金额：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（4）暂列金额：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w:t>
      </w:r>
      <w:r>
        <w:rPr>
          <w:rFonts w:ascii="宋体" w:cs="宋体" w:hint="eastAsia"/>
          <w:color w:val="auto"/>
          <w:szCs w:val="21"/>
          <w:u w:val="single"/>
          <w:highlight w:val="auto"/>
        </w:rPr>
        <w:t xml:space="preserve">     /    </w:t>
      </w:r>
      <w:r>
        <w:rPr>
          <w:rFonts w:ascii="宋体" w:cs="宋体" w:hint="eastAsia"/>
          <w:color w:val="auto"/>
          <w:szCs w:val="21"/>
          <w:highlight w:val="auto"/>
        </w:rPr>
        <w:t xml:space="preserve">(¥ </w:t>
      </w:r>
      <w:r>
        <w:rPr>
          <w:rFonts w:ascii="宋体" w:cs="宋体" w:hint="eastAsia"/>
          <w:color w:val="auto"/>
          <w:szCs w:val="21"/>
          <w:u w:val="single"/>
          <w:highlight w:val="auto"/>
        </w:rPr>
        <w:t xml:space="preserve">    /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（5）增值税额：</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人民币（大写）                  （¥</w:t>
      </w:r>
      <w:r>
        <w:rPr>
          <w:rFonts w:ascii="宋体" w:cs="宋体" w:hint="eastAsia"/>
          <w:color w:val="auto"/>
          <w:szCs w:val="21"/>
          <w:u w:val="single"/>
          <w:highlight w:val="auto"/>
        </w:rPr>
        <w:t xml:space="preserve">                    </w:t>
      </w:r>
      <w:r>
        <w:rPr>
          <w:rFonts w:ascii="宋体" w:cs="宋体" w:hint="eastAsia"/>
          <w:color w:val="auto"/>
          <w:szCs w:val="21"/>
          <w:highlight w:val="auto"/>
        </w:rPr>
        <w:t>元）。</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增值税率：</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2.合同价格形式：</w:t>
      </w:r>
      <w:r>
        <w:rPr>
          <w:rFonts w:ascii="宋体" w:cs="宋体" w:hint="eastAsia"/>
          <w:color w:val="auto"/>
          <w:szCs w:val="21"/>
          <w:u w:val="single"/>
          <w:highlight w:val="auto"/>
        </w:rPr>
        <w:t xml:space="preserve">                    </w:t>
      </w:r>
      <w:r>
        <w:rPr>
          <w:rFonts w:ascii="宋体" w:cs="宋体" w:hint="eastAsia"/>
          <w:color w:val="auto"/>
          <w:szCs w:val="21"/>
          <w:highlight w:val="auto"/>
        </w:rPr>
        <w:t>。</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五、项目经理</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color w:val="auto"/>
          <w:szCs w:val="21"/>
          <w:highlight w:val="auto"/>
        </w:rPr>
        <w:t>承包人项目经理：</w:t>
      </w:r>
      <w:r>
        <w:rPr>
          <w:rFonts w:ascii="宋体" w:cs="宋体" w:hint="eastAsia"/>
          <w:bCs/>
          <w:color w:val="auto"/>
          <w:szCs w:val="21"/>
          <w:highlight w:val="auto"/>
        </w:rPr>
        <w:t xml:space="preserve"> </w:t>
      </w:r>
      <w:r>
        <w:rPr>
          <w:rFonts w:ascii="宋体" w:cs="宋体" w:hint="eastAsia"/>
          <w:bCs/>
          <w:color w:val="auto"/>
          <w:szCs w:val="21"/>
          <w:u w:val="single"/>
          <w:highlight w:val="auto"/>
        </w:rPr>
        <w:t xml:space="preserve">         </w:t>
      </w:r>
      <w:r>
        <w:rPr>
          <w:rFonts w:ascii="宋体" w:cs="宋体" w:hint="eastAsia"/>
          <w:bCs/>
          <w:color w:val="auto"/>
          <w:szCs w:val="21"/>
          <w:highlight w:val="auto"/>
        </w:rPr>
        <w:t>，联系电话：</w:t>
      </w:r>
      <w:r>
        <w:rPr>
          <w:rFonts w:ascii="宋体" w:cs="宋体" w:hint="eastAsia"/>
          <w:bCs/>
          <w:color w:val="auto"/>
          <w:szCs w:val="21"/>
          <w:u w:val="single"/>
          <w:highlight w:val="auto"/>
        </w:rPr>
        <w:t xml:space="preserve">             </w:t>
      </w:r>
      <w:r>
        <w:rPr>
          <w:rFonts w:ascii="宋体" w:cs="宋体" w:hint="eastAsia"/>
          <w:bCs/>
          <w:color w:val="auto"/>
          <w:szCs w:val="21"/>
          <w:highlight w:val="auto"/>
        </w:rPr>
        <w:t>，资质证书：</w:t>
      </w:r>
      <w:r>
        <w:rPr>
          <w:rFonts w:ascii="宋体" w:cs="宋体" w:hint="eastAsia"/>
          <w:bCs/>
          <w:color w:val="auto"/>
          <w:szCs w:val="21"/>
          <w:u w:val="single"/>
          <w:highlight w:val="auto"/>
        </w:rPr>
        <w:t xml:space="preserve">           </w:t>
      </w:r>
      <w:r>
        <w:rPr>
          <w:rFonts w:ascii="宋体" w:cs="宋体" w:hint="eastAsia"/>
          <w:bCs/>
          <w:color w:val="auto"/>
          <w:szCs w:val="21"/>
          <w:highlight w:val="auto"/>
        </w:rPr>
        <w:t>。</w:t>
      </w:r>
    </w:p>
    <w:p>
      <w:pPr>
        <w:pStyle w:val="366"/>
        <w:widowControl/>
        <w:spacing w:line="360" w:lineRule="auto"/>
        <w:ind w:firstLineChars="200" w:firstLine="420"/>
        <w:jc w:val="left"/>
        <w:rPr>
          <w:rFonts w:ascii="宋体" w:cs="宋体"/>
          <w:bCs/>
          <w:color w:val="auto"/>
          <w:szCs w:val="21"/>
          <w:u w:val="single"/>
          <w:highlight w:val="auto"/>
        </w:rPr>
      </w:pPr>
      <w:r>
        <w:rPr>
          <w:rFonts w:ascii="宋体" w:cs="宋体" w:hint="eastAsia"/>
          <w:bCs/>
          <w:color w:val="auto"/>
          <w:szCs w:val="21"/>
          <w:highlight w:val="auto"/>
        </w:rPr>
        <w:t>承包人高级管理人员（副总级或以上）：</w:t>
      </w:r>
      <w:r>
        <w:rPr>
          <w:rFonts w:ascii="宋体" w:cs="宋体" w:hint="eastAsia"/>
          <w:bCs/>
          <w:color w:val="auto"/>
          <w:szCs w:val="21"/>
          <w:u w:val="single"/>
          <w:highlight w:val="auto"/>
        </w:rPr>
        <w:t xml:space="preserve">           </w:t>
      </w:r>
      <w:r>
        <w:rPr>
          <w:rFonts w:ascii="宋体" w:cs="宋体" w:hint="eastAsia"/>
          <w:bCs/>
          <w:color w:val="auto"/>
          <w:szCs w:val="21"/>
          <w:highlight w:val="auto"/>
        </w:rPr>
        <w:t>，联系电话：</w:t>
      </w:r>
      <w:r>
        <w:rPr>
          <w:rFonts w:ascii="宋体" w:cs="宋体" w:hint="eastAsia"/>
          <w:bCs/>
          <w:color w:val="auto"/>
          <w:szCs w:val="21"/>
          <w:u w:val="single"/>
          <w:highlight w:val="auto"/>
        </w:rPr>
        <w:t xml:space="preserve">              </w:t>
      </w:r>
      <w:r>
        <w:rPr>
          <w:rFonts w:ascii="宋体" w:cs="宋体" w:hint="eastAsia"/>
          <w:bCs/>
          <w:color w:val="auto"/>
          <w:szCs w:val="21"/>
          <w:highlight w:val="auto"/>
        </w:rPr>
        <w:t>。</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六、合同文件构成</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本协议书与下列文件一起构成合同文件：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（1）本合同协议书；</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（2）中标（成交）通知书；</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（3）专用合同条款及其附件；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（4）通用合同条款；</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（5）标准、规范及有关技术文件；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（6）图纸；</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（7）已标价工程量清单；</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（8）</w:t>
      </w:r>
      <w:r>
        <w:rPr>
          <w:rFonts w:ascii="宋体" w:cs="宋体" w:hint="eastAsia"/>
          <w:color w:val="auto"/>
          <w:szCs w:val="21"/>
          <w:lang w:eastAsia="zh-CN"/>
          <w:highlight w:val="auto"/>
        </w:rPr>
        <w:t>采购</w:t>
      </w:r>
      <w:r>
        <w:rPr>
          <w:rFonts w:ascii="宋体" w:cs="宋体" w:hint="eastAsia"/>
          <w:color w:val="auto"/>
          <w:szCs w:val="21"/>
          <w:highlight w:val="auto"/>
        </w:rPr>
        <w:t>文件及附件（含补充通知和答疑）；</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（9）廉政责任书；</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（10）其他合同文件。</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在合同订立及履行过程中形成的与合同有关的文件均构成合同文件组成部分。</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上述各项合同文件包括合同当事人就该项合同文件所作出的补充和修改，属于同一类内容的文件，应以最新签署的为准。专用合同条款及其附件须经合同当事人签字或盖章。</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b/>
          <w:bCs/>
          <w:color w:val="auto"/>
          <w:szCs w:val="21"/>
          <w:highlight w:val="auto"/>
        </w:rPr>
        <w:t>七、承诺</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bCs/>
          <w:color w:val="auto"/>
          <w:szCs w:val="21"/>
          <w:highlight w:val="auto"/>
        </w:rPr>
        <w:t>1.发包人承诺按照法律规定履行项目审批手续、筹集工程建设资金并按照合同约定的期限和方式支付合同价款。</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bCs/>
          <w:color w:val="auto"/>
          <w:szCs w:val="21"/>
          <w:highlight w:val="auto"/>
        </w:rPr>
        <w:t>2.承包人承诺按照法律规定及合同约定组织完成工程施工，确保工程质量和安全，不进行转包及违法分包，并在缺陷责任期及保修期内承担相应的工程维修责任；如因承包人私自将工程转包或违法分包引起纠纷导致发包人涉诉产生的一切费用（包括但不限于律师费、诉讼费、鉴定费、保全保险费等）由承包人承担。</w:t>
      </w:r>
    </w:p>
    <w:p>
      <w:pPr>
        <w:pStyle w:val="366"/>
        <w:widowControl/>
        <w:spacing w:line="360" w:lineRule="auto"/>
        <w:ind w:firstLineChars="200" w:firstLine="420"/>
        <w:jc w:val="left"/>
        <w:rPr>
          <w:rFonts w:ascii="宋体" w:cs="宋体" w:hint="eastAsia"/>
          <w:bCs/>
          <w:color w:val="auto"/>
          <w:szCs w:val="21"/>
          <w:highlight w:val="auto"/>
        </w:rPr>
      </w:pPr>
      <w:r>
        <w:rPr>
          <w:rFonts w:ascii="宋体" w:cs="宋体" w:hint="eastAsia"/>
          <w:bCs/>
          <w:color w:val="auto"/>
          <w:szCs w:val="21"/>
          <w:highlight w:val="auto"/>
        </w:rPr>
        <w:t>3.发包人和承包人通过招投标形式签订合同的，双方理解并承诺不再就同一工程另行签订与合同实质性内容相背离的协议。</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八、词语含义</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本协议书中词语含义与第二部分通用合同条款中赋予的含义相同。</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九、签订时间</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本合同于</w:t>
      </w:r>
      <w:r>
        <w:rPr>
          <w:rFonts w:ascii="宋体" w:cs="宋体" w:hint="eastAsia"/>
          <w:color w:val="auto"/>
          <w:szCs w:val="21"/>
          <w:u w:val="single"/>
          <w:highlight w:val="auto"/>
        </w:rPr>
        <w:t xml:space="preserve"> 2025 </w:t>
      </w:r>
      <w:r>
        <w:rPr>
          <w:rFonts w:ascii="宋体" w:cs="宋体" w:hint="eastAsia"/>
          <w:color w:val="auto"/>
          <w:szCs w:val="21"/>
          <w:highlight w:val="auto"/>
        </w:rPr>
        <w:t>年</w:t>
      </w:r>
      <w:r>
        <w:rPr>
          <w:rFonts w:ascii="宋体" w:cs="宋体" w:hint="eastAsia"/>
          <w:color w:val="auto"/>
          <w:szCs w:val="21"/>
          <w:u w:val="single"/>
          <w:highlight w:val="auto"/>
        </w:rPr>
        <w:t xml:space="preserve">    </w:t>
      </w:r>
      <w:r>
        <w:rPr>
          <w:rFonts w:ascii="宋体" w:cs="宋体" w:hint="eastAsia"/>
          <w:color w:val="auto"/>
          <w:szCs w:val="21"/>
          <w:highlight w:val="auto"/>
        </w:rPr>
        <w:t>月</w:t>
      </w:r>
      <w:r>
        <w:rPr>
          <w:rFonts w:ascii="宋体" w:cs="宋体" w:hint="eastAsia"/>
          <w:color w:val="auto"/>
          <w:szCs w:val="21"/>
          <w:u w:val="single"/>
          <w:highlight w:val="auto"/>
        </w:rPr>
        <w:t xml:space="preserve">      </w:t>
      </w:r>
      <w:r>
        <w:rPr>
          <w:rFonts w:ascii="宋体" w:cs="宋体" w:hint="eastAsia"/>
          <w:color w:val="auto"/>
          <w:szCs w:val="21"/>
          <w:highlight w:val="auto"/>
        </w:rPr>
        <w:t>日签订。</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十、签订地点</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本合同在</w:t>
      </w:r>
      <w:r>
        <w:rPr>
          <w:rFonts w:ascii="宋体" w:cs="宋体" w:hint="eastAsia"/>
          <w:color w:val="auto"/>
          <w:szCs w:val="21"/>
          <w:u w:val="single"/>
          <w:highlight w:val="auto"/>
        </w:rPr>
        <w:t xml:space="preserve"> </w:t>
      </w:r>
      <w:r>
        <w:rPr>
          <w:rFonts w:ascii="宋体" w:cs="宋体" w:hint="eastAsia"/>
          <w:bCs/>
          <w:color w:val="auto"/>
          <w:szCs w:val="21"/>
          <w:u w:val="single"/>
          <w:lang w:val="en-US" w:eastAsia="zh-CN"/>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签订。</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十一、补充协议</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合同未尽事宜，合同当事人另行签订补充协议，补充协议是合同的组成部分。</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十二、合同生效</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bCs/>
          <w:color w:val="auto"/>
          <w:szCs w:val="21"/>
          <w:highlight w:val="auto"/>
        </w:rPr>
        <w:t>本合同自</w:t>
      </w:r>
      <w:r>
        <w:rPr>
          <w:rFonts w:ascii="宋体" w:cs="宋体" w:hint="eastAsia"/>
          <w:bCs/>
          <w:color w:val="auto"/>
          <w:szCs w:val="21"/>
          <w:u w:val="single"/>
          <w:highlight w:val="auto"/>
        </w:rPr>
        <w:t xml:space="preserve">双方法定代表人或其授权委托代理人签字或盖章并加盖单位公章或合同专用章之日起 </w:t>
      </w:r>
      <w:r>
        <w:rPr>
          <w:rFonts w:ascii="宋体" w:cs="宋体" w:hint="eastAsia"/>
          <w:bCs/>
          <w:color w:val="auto"/>
          <w:szCs w:val="21"/>
          <w:highlight w:val="auto"/>
        </w:rPr>
        <w:t>生效。</w:t>
      </w:r>
      <w:r>
        <w:rPr>
          <w:rFonts w:ascii="宋体" w:cs="宋体" w:hint="eastAsia"/>
          <w:color w:val="auto"/>
          <w:szCs w:val="21"/>
          <w:highlight w:val="auto"/>
        </w:rPr>
        <w:t>委托代理人签字的，应提供书面授权文件。</w:t>
      </w:r>
    </w:p>
    <w:p>
      <w:pPr>
        <w:pStyle w:val="366"/>
        <w:widowControl/>
        <w:spacing w:line="360" w:lineRule="auto"/>
        <w:ind w:firstLineChars="200" w:firstLine="420"/>
        <w:jc w:val="left"/>
        <w:rPr>
          <w:rFonts w:ascii="宋体" w:cs="宋体" w:hint="eastAsia"/>
          <w:b/>
          <w:bCs/>
          <w:color w:val="auto"/>
          <w:szCs w:val="21"/>
          <w:highlight w:val="auto"/>
        </w:rPr>
      </w:pPr>
      <w:r>
        <w:rPr>
          <w:rFonts w:ascii="宋体" w:cs="宋体" w:hint="eastAsia"/>
          <w:b/>
          <w:bCs/>
          <w:color w:val="auto"/>
          <w:szCs w:val="21"/>
          <w:highlight w:val="auto"/>
        </w:rPr>
        <w:t>十三、合同份数</w:t>
      </w: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本合同一式</w:t>
      </w:r>
      <w:r>
        <w:rPr>
          <w:rFonts w:ascii="宋体" w:cs="宋体" w:hint="eastAsia"/>
          <w:color w:val="auto"/>
          <w:szCs w:val="21"/>
          <w:u w:val="single"/>
          <w:highlight w:val="auto"/>
        </w:rPr>
        <w:t xml:space="preserve"> 柒 </w:t>
      </w:r>
      <w:r>
        <w:rPr>
          <w:rFonts w:ascii="宋体" w:cs="宋体" w:hint="eastAsia"/>
          <w:color w:val="auto"/>
          <w:szCs w:val="21"/>
          <w:highlight w:val="auto"/>
        </w:rPr>
        <w:t>份，均具有同等法律效力，发包人执</w:t>
      </w:r>
      <w:r>
        <w:rPr>
          <w:rFonts w:ascii="宋体" w:cs="宋体" w:hint="eastAsia"/>
          <w:color w:val="auto"/>
          <w:szCs w:val="21"/>
          <w:u w:val="single"/>
          <w:highlight w:val="auto"/>
        </w:rPr>
        <w:t xml:space="preserve"> 叁 </w:t>
      </w:r>
      <w:r>
        <w:rPr>
          <w:rFonts w:ascii="宋体" w:cs="宋体" w:hint="eastAsia"/>
          <w:color w:val="auto"/>
          <w:szCs w:val="21"/>
          <w:highlight w:val="auto"/>
        </w:rPr>
        <w:t>份，承包人执</w:t>
      </w:r>
      <w:r>
        <w:rPr>
          <w:rFonts w:ascii="宋体" w:cs="宋体" w:hint="eastAsia"/>
          <w:color w:val="auto"/>
          <w:szCs w:val="21"/>
          <w:u w:val="single"/>
          <w:highlight w:val="auto"/>
        </w:rPr>
        <w:t xml:space="preserve"> </w:t>
      </w:r>
      <w:r>
        <w:rPr>
          <w:rFonts w:ascii="宋体" w:cs="宋体" w:hint="eastAsia"/>
          <w:bCs/>
          <w:color w:val="auto"/>
          <w:szCs w:val="21"/>
          <w:u w:val="single"/>
          <w:highlight w:val="auto"/>
        </w:rPr>
        <w:t>肆</w:t>
      </w:r>
      <w:r>
        <w:rPr>
          <w:rFonts w:ascii="宋体" w:cs="宋体" w:hint="eastAsia"/>
          <w:color w:val="auto"/>
          <w:szCs w:val="21"/>
          <w:u w:val="single"/>
          <w:highlight w:val="auto"/>
        </w:rPr>
        <w:t xml:space="preserve"> </w:t>
      </w:r>
      <w:r>
        <w:rPr>
          <w:rFonts w:ascii="宋体" w:cs="宋体" w:hint="eastAsia"/>
          <w:color w:val="auto"/>
          <w:szCs w:val="21"/>
          <w:highlight w:val="auto"/>
        </w:rPr>
        <w:t>份。</w:t>
      </w:r>
    </w:p>
    <w:p>
      <w:pPr>
        <w:pStyle w:val="366"/>
        <w:widowControl/>
        <w:spacing w:line="360" w:lineRule="auto"/>
        <w:jc w:val="left"/>
        <w:rPr>
          <w:rFonts w:ascii="宋体" w:cs="宋体" w:hint="eastAsia"/>
          <w:color w:val="auto"/>
          <w:szCs w:val="21"/>
          <w:u w:val="single"/>
          <w:highlight w:val="auto"/>
        </w:rPr>
      </w:pPr>
    </w:p>
    <w:p>
      <w:pPr>
        <w:pStyle w:val="366"/>
        <w:widowControl/>
        <w:spacing w:line="360" w:lineRule="auto"/>
        <w:ind w:firstLineChars="200" w:firstLine="420"/>
        <w:jc w:val="left"/>
        <w:rPr>
          <w:rFonts w:ascii="宋体" w:cs="宋体" w:hint="eastAsia"/>
          <w:color w:val="auto"/>
          <w:szCs w:val="21"/>
          <w:highlight w:val="auto"/>
        </w:rPr>
      </w:pPr>
      <w:r>
        <w:rPr>
          <w:rFonts w:ascii="宋体" w:cs="宋体" w:hint="eastAsia"/>
          <w:color w:val="auto"/>
          <w:szCs w:val="21"/>
          <w:u w:val="single"/>
          <w:highlight w:val="auto"/>
        </w:rPr>
        <w:br w:type="page"/>
      </w:r>
      <w:r>
        <w:rPr>
          <w:rFonts w:ascii="宋体" w:cs="宋体" w:hint="eastAsia"/>
          <w:color w:val="auto"/>
          <w:szCs w:val="21"/>
          <w:highlight w:val="auto"/>
        </w:rPr>
        <w:t>此页为签章页</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 xml:space="preserve"> </w:t>
      </w:r>
    </w:p>
    <w:tbl>
      <w:tblPr>
        <w:jc w:val="cente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644"/>
        <w:gridCol w:w="4644"/>
      </w:tblGrid>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发包人：</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（盖章：公章/合同专用章）</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承包人：</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（盖章：公章/合同专用章）</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法定代表人(负责人)或</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授权代表（签字）：</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法定代表人(负责人)或</w:t>
            </w:r>
          </w:p>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授权代表（签字）：</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统一社会信用代码：</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统一社会信用代码：</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通讯地址：</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通讯地址：</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邮编：</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邮编：</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联系人手机：</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联系人手机：</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联系人邮箱：</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联系人邮箱：</w:t>
            </w:r>
          </w:p>
        </w:tc>
      </w:tr>
      <w:tr>
        <w:trPr>
          <w:trHeight w:val="9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u w:val="single"/>
                <w:highlight w:val="auto"/>
              </w:rPr>
            </w:pPr>
            <w:r>
              <w:rPr>
                <w:rFonts w:ascii="宋体" w:cs="宋体" w:hint="eastAsia"/>
                <w:color w:val="auto"/>
                <w:szCs w:val="21"/>
                <w:highlight w:val="auto"/>
              </w:rPr>
              <w:t>开户行：</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开户行：</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账号：</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账号：</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税号：</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税号：</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公司电话：</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公司电话：</w:t>
            </w:r>
          </w:p>
        </w:tc>
      </w:tr>
      <w:tr>
        <w:trPr>
          <w:trHeight w:val="850"/>
        </w:trPr>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公司传真：</w:t>
            </w:r>
          </w:p>
        </w:tc>
        <w:tc>
          <w:tcPr>
            <w:tcW w:w="4644" w:type="dxa"/>
            <w:tcBorders>
              <w:top w:val="single" w:sz="4" w:space="0" w:color="auto"/>
              <w:left w:val="single" w:sz="4" w:space="0" w:color="auto"/>
              <w:bottom w:val="single" w:sz="4" w:space="0" w:color="auto"/>
              <w:right w:val="single" w:sz="4" w:space="0" w:color="auto"/>
            </w:tcBorders>
            <w:noWrap/>
            <w:vAlign w:val="center"/>
          </w:tcPr>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公司传真：</w:t>
            </w:r>
          </w:p>
        </w:tc>
      </w:tr>
    </w:tbl>
    <w:p>
      <w:pPr>
        <w:pStyle w:val="366"/>
        <w:widowControl/>
        <w:spacing w:line="360" w:lineRule="auto"/>
        <w:jc w:val="left"/>
        <w:rPr>
          <w:rFonts w:ascii="宋体" w:cs="宋体" w:hint="eastAsia"/>
          <w:color w:val="auto"/>
          <w:szCs w:val="21"/>
          <w:highlight w:val="auto"/>
        </w:rPr>
      </w:pPr>
      <w:r>
        <w:rPr>
          <w:rFonts w:ascii="宋体" w:cs="宋体" w:hint="eastAsia"/>
          <w:color w:val="auto"/>
          <w:szCs w:val="21"/>
          <w:highlight w:val="auto"/>
        </w:rPr>
        <w:t>住所、联系人、联系人电话、联系人邮箱、开户行、账号、税号、公司电话等信息必须真实、准确填写齐全。</w:t>
      </w:r>
    </w:p>
    <w:p>
      <w:pPr>
        <w:widowControl/>
        <w:jc w:val="left"/>
        <w:rPr>
          <w:color w:val="auto"/>
          <w:u w:val="single"/>
          <w:highlight w:val="auto"/>
        </w:rPr>
      </w:pPr>
      <w:r>
        <w:rPr>
          <w:rFonts w:hint="eastAsia"/>
          <w:color w:val="auto"/>
          <w:sz w:val="20"/>
          <w:highlight w:val="auto"/>
        </w:rPr>
        <w:t xml:space="preserve"> </w:t>
      </w:r>
    </w:p>
    <w:p>
      <w:pPr>
        <w:pStyle w:val="1"/>
        <w:jc w:val="center"/>
        <w:rPr>
          <w:color w:val="auto"/>
          <w:highlight w:val="auto"/>
        </w:rPr>
      </w:pPr>
      <w:bookmarkStart w:id="102" w:name="_Toc1713"/>
      <w:r>
        <w:rPr>
          <w:rFonts w:cs="黑体" w:hint="eastAsia"/>
          <w:color w:val="auto"/>
          <w:sz w:val="32"/>
          <w:szCs w:val="32"/>
          <w:highlight w:val="auto"/>
        </w:rPr>
        <w:t>第二部分</w:t>
      </w:r>
      <w:r>
        <w:rPr>
          <w:color w:val="auto"/>
          <w:sz w:val="32"/>
          <w:szCs w:val="32"/>
          <w:highlight w:val="auto"/>
        </w:rPr>
        <w:t xml:space="preserve"> </w:t>
      </w:r>
      <w:r>
        <w:rPr>
          <w:rFonts w:cs="黑体" w:hint="eastAsia"/>
          <w:color w:val="auto"/>
          <w:sz w:val="32"/>
          <w:szCs w:val="32"/>
          <w:highlight w:val="auto"/>
        </w:rPr>
        <w:t>通用合同条款</w:t>
      </w:r>
      <w:bookmarkEnd w:id="102"/>
    </w:p>
    <w:p>
      <w:pPr>
        <w:spacing w:line="360" w:lineRule="auto"/>
        <w:ind w:firstLineChars="200" w:firstLine="420"/>
        <w:rPr>
          <w:color w:val="auto"/>
          <w:kern w:val="0"/>
          <w:highlight w:val="auto"/>
        </w:rPr>
      </w:pPr>
    </w:p>
    <w:p>
      <w:pPr>
        <w:spacing w:line="360" w:lineRule="auto"/>
        <w:ind w:firstLineChars="200" w:firstLine="420"/>
        <w:rPr>
          <w:b/>
          <w:bCs/>
          <w:color w:val="auto"/>
          <w:kern w:val="0"/>
          <w:highlight w:val="auto"/>
        </w:rPr>
      </w:pPr>
      <w:r>
        <w:rPr>
          <w:rFonts w:cs="宋体" w:hint="eastAsia"/>
          <w:b/>
          <w:bCs/>
          <w:color w:val="auto"/>
          <w:kern w:val="0"/>
          <w:highlight w:val="auto"/>
        </w:rPr>
        <w:t>采用《建设工程施工合同（示范文本）》（</w:t>
      </w:r>
      <w:r>
        <w:rPr>
          <w:b/>
          <w:bCs/>
          <w:color w:val="auto"/>
          <w:kern w:val="0"/>
          <w:highlight w:val="auto"/>
        </w:rPr>
        <w:t>GF</w:t>
      </w:r>
      <w:r>
        <w:rPr>
          <w:rFonts w:cs="宋体"/>
          <w:b/>
          <w:bCs/>
          <w:color w:val="auto"/>
          <w:kern w:val="0"/>
          <w:highlight w:val="auto"/>
        </w:rPr>
        <w:t>—</w:t>
      </w:r>
      <w:r>
        <w:rPr>
          <w:b/>
          <w:bCs/>
          <w:color w:val="auto"/>
          <w:kern w:val="0"/>
          <w:highlight w:val="auto"/>
        </w:rPr>
        <w:t>201</w:t>
      </w:r>
      <w:r>
        <w:rPr>
          <w:rFonts w:hint="eastAsia"/>
          <w:b/>
          <w:bCs/>
          <w:color w:val="auto"/>
          <w:kern w:val="0"/>
          <w:highlight w:val="auto"/>
        </w:rPr>
        <w:t>7</w:t>
      </w:r>
      <w:r>
        <w:rPr>
          <w:rFonts w:cs="宋体"/>
          <w:b/>
          <w:bCs/>
          <w:color w:val="auto"/>
          <w:kern w:val="0"/>
          <w:highlight w:val="auto"/>
        </w:rPr>
        <w:t>—</w:t>
      </w:r>
      <w:r>
        <w:rPr>
          <w:b/>
          <w:bCs/>
          <w:color w:val="auto"/>
          <w:kern w:val="0"/>
          <w:highlight w:val="auto"/>
        </w:rPr>
        <w:t>0201</w:t>
      </w:r>
      <w:r>
        <w:rPr>
          <w:rFonts w:cs="宋体" w:hint="eastAsia"/>
          <w:b/>
          <w:bCs/>
          <w:color w:val="auto"/>
          <w:kern w:val="0"/>
          <w:highlight w:val="auto"/>
        </w:rPr>
        <w:t>）。</w:t>
      </w:r>
    </w:p>
    <w:p>
      <w:pPr>
        <w:pStyle w:val="1"/>
        <w:keepNext w:val="0"/>
        <w:keepLines w:val="0"/>
        <w:widowControl w:val="0"/>
        <w:jc w:val="center"/>
        <w:rPr>
          <w:color w:val="auto"/>
          <w:sz w:val="30"/>
          <w:szCs w:val="30"/>
          <w:highlight w:val="auto"/>
        </w:rPr>
      </w:pPr>
      <w:bookmarkStart w:id="103" w:name="_Toc20758"/>
      <w:r>
        <w:rPr>
          <w:rFonts w:cs="黑体" w:hint="eastAsia"/>
          <w:color w:val="auto"/>
          <w:sz w:val="30"/>
          <w:szCs w:val="30"/>
          <w:highlight w:val="auto"/>
        </w:rPr>
        <w:t>第三部分</w:t>
      </w:r>
      <w:r>
        <w:rPr>
          <w:color w:val="auto"/>
          <w:sz w:val="30"/>
          <w:szCs w:val="30"/>
          <w:highlight w:val="auto"/>
        </w:rPr>
        <w:t xml:space="preserve"> </w:t>
      </w:r>
      <w:r>
        <w:rPr>
          <w:rFonts w:cs="黑体" w:hint="eastAsia"/>
          <w:color w:val="auto"/>
          <w:sz w:val="30"/>
          <w:szCs w:val="30"/>
          <w:highlight w:val="auto"/>
        </w:rPr>
        <w:t>专用合同条款</w:t>
      </w:r>
      <w:bookmarkEnd w:id="103"/>
    </w:p>
    <w:p>
      <w:pPr>
        <w:spacing w:line="360" w:lineRule="auto"/>
        <w:jc w:val="center"/>
        <w:rPr>
          <w:rFonts w:cs="宋体"/>
          <w:b/>
          <w:bCs/>
          <w:color w:val="auto"/>
          <w:kern w:val="0"/>
          <w:highlight w:val="auto"/>
        </w:rPr>
      </w:pPr>
      <w:r>
        <w:rPr>
          <w:rFonts w:cs="宋体" w:hint="eastAsia"/>
          <w:b/>
          <w:bCs/>
          <w:color w:val="auto"/>
          <w:kern w:val="0"/>
          <w:highlight w:val="auto"/>
        </w:rPr>
        <w:t>（注：专用合同条款每一条均应填写完整！）</w:t>
      </w:r>
    </w:p>
    <w:p>
      <w:pPr>
        <w:pStyle w:val="359"/>
        <w:spacing w:line="360" w:lineRule="auto"/>
        <w:rPr>
          <w:rFonts w:ascii="宋体" w:cs="宋体" w:hint="eastAsia"/>
          <w:b/>
          <w:color w:val="auto"/>
          <w:highlight w:val="auto"/>
        </w:rPr>
      </w:pPr>
      <w:r>
        <w:rPr>
          <w:rFonts w:ascii="宋体" w:cs="宋体" w:hint="eastAsia"/>
          <w:b/>
          <w:color w:val="auto"/>
          <w:highlight w:val="auto"/>
        </w:rPr>
        <w:t>1. 一般约定</w:t>
      </w:r>
    </w:p>
    <w:p>
      <w:pPr>
        <w:pStyle w:val="359"/>
        <w:spacing w:line="360" w:lineRule="auto"/>
        <w:rPr>
          <w:rFonts w:ascii="宋体" w:cs="宋体" w:hint="eastAsia"/>
          <w:b/>
          <w:color w:val="auto"/>
          <w:highlight w:val="auto"/>
        </w:rPr>
      </w:pPr>
      <w:r>
        <w:rPr>
          <w:rFonts w:ascii="宋体" w:cs="宋体" w:hint="eastAsia"/>
          <w:b/>
          <w:color w:val="auto"/>
          <w:highlight w:val="auto"/>
        </w:rPr>
        <w:t>1.1 词语定义</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1.1.1合同</w:t>
      </w:r>
    </w:p>
    <w:p>
      <w:pPr>
        <w:pStyle w:val="382"/>
        <w:spacing w:line="360" w:lineRule="auto"/>
        <w:ind w:firstLineChars="200" w:firstLine="420"/>
        <w:rPr>
          <w:rFonts w:ascii="宋体" w:cs="宋体" w:hint="eastAsia"/>
          <w:color w:val="auto"/>
          <w:kern w:val="0"/>
          <w:szCs w:val="21"/>
          <w:u w:val="single"/>
          <w:highlight w:val="auto"/>
        </w:rPr>
      </w:pPr>
      <w:r>
        <w:rPr>
          <w:rFonts w:ascii="宋体" w:cs="宋体" w:hint="eastAsia"/>
          <w:color w:val="auto"/>
          <w:highlight w:val="auto"/>
        </w:rPr>
        <w:t>1.1.1.10其他合同文件包括：</w:t>
      </w:r>
      <w:r>
        <w:rPr>
          <w:rFonts w:ascii="宋体" w:cs="宋体" w:hint="eastAsia"/>
          <w:color w:val="auto"/>
          <w:kern w:val="0"/>
          <w:szCs w:val="21"/>
          <w:u w:val="single"/>
          <w:highlight w:val="auto"/>
        </w:rPr>
        <w:t>(1）中标（成交）通知书、（2）投标函及其附录（如有）、</w:t>
      </w:r>
    </w:p>
    <w:p>
      <w:pPr>
        <w:pStyle w:val="382"/>
        <w:spacing w:line="360" w:lineRule="auto"/>
        <w:ind w:firstLineChars="200" w:firstLine="420"/>
        <w:rPr>
          <w:rFonts w:ascii="宋体" w:cs="宋体" w:hint="eastAsia"/>
          <w:color w:val="auto"/>
          <w:highlight w:val="auto"/>
        </w:rPr>
      </w:pPr>
      <w:r>
        <w:rPr>
          <w:rFonts w:ascii="宋体" w:cs="宋体" w:hint="eastAsia"/>
          <w:color w:val="auto"/>
          <w:kern w:val="0"/>
          <w:szCs w:val="21"/>
          <w:u w:val="single"/>
          <w:highlight w:val="auto"/>
        </w:rPr>
        <w:t>（3）专用合同条款及其附件、（4）通用合同条款、（5）标准、规范及有关技术文件、（6）图纸、（7）已标价工程量清单或预算书、（8）</w:t>
      </w:r>
      <w:r>
        <w:rPr>
          <w:rFonts w:ascii="宋体" w:cs="宋体" w:hint="eastAsia"/>
          <w:color w:val="auto"/>
          <w:kern w:val="0"/>
          <w:szCs w:val="21"/>
          <w:u w:val="single"/>
          <w:lang w:eastAsia="zh-CN"/>
          <w:highlight w:val="auto"/>
        </w:rPr>
        <w:t>采购</w:t>
      </w:r>
      <w:r>
        <w:rPr>
          <w:rFonts w:ascii="宋体" w:cs="宋体" w:hint="eastAsia"/>
          <w:color w:val="auto"/>
          <w:kern w:val="0"/>
          <w:szCs w:val="21"/>
          <w:u w:val="single"/>
          <w:highlight w:val="auto"/>
        </w:rPr>
        <w:t>文件及附件（含补充通知和答疑）、（9）廉政责任书、（10）农民工工资保障金缴纳证明、（11）其他合同文件。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1.1.2 合同当事人及其他相关方</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1.1.2.4监理人：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名    称：</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资质类别和等级：</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1.1.2.5 设计人：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名    称：</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资质类别和等级：</w:t>
      </w:r>
      <w:r>
        <w:rPr>
          <w:rFonts w:ascii="宋体" w:cs="宋体" w:hint="eastAsia"/>
          <w:color w:val="auto"/>
          <w:u w:val="single"/>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 工程和设备</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1.1.3.7 作为施工现场组成部分的其他场所包括：</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1.1.3.9 永久占地包括：</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1.1.3.10 临时占地包括：</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1.3法律</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适用于合同的其他规范性文件：</w:t>
      </w:r>
      <w:r>
        <w:rPr>
          <w:rFonts w:ascii="宋体" w:cs="宋体" w:hint="eastAsia"/>
          <w:color w:val="auto"/>
          <w:u w:val="single"/>
          <w:highlight w:val="auto"/>
        </w:rPr>
        <w:t xml:space="preserve"> 我国现行法律、行政法规、部门规章，工程所在地地方性法规、地方政府规章、规范性文件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1.4 标准和规范</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1.4.1适用于工程的标准规范包括：</w:t>
      </w:r>
      <w:r>
        <w:rPr>
          <w:rFonts w:ascii="宋体" w:cs="宋体" w:hint="eastAsia"/>
          <w:color w:val="auto"/>
          <w:spacing w:val="2"/>
          <w:szCs w:val="21"/>
          <w:u w:val="single"/>
          <w:highlight w:val="auto"/>
        </w:rPr>
        <w:t>现行的国家标准、规范，行业标准、规范</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1.4.2 发包人提供国外标准、规范的名称：</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发包人提供国外标准、规范的份数：</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发包人提供国外标准、规范的名称：</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1.4.3发包人对工程的技术标准和功能要求的特殊要求：</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 合同文件的优先顺序</w:t>
      </w:r>
    </w:p>
    <w:p>
      <w:pPr>
        <w:pStyle w:val="382"/>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合同文件组成及优先顺序为：</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（1）合同协议书；</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（2）中标（成交）通知书；</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（3）专用合同条款及其附件；</w:t>
      </w:r>
    </w:p>
    <w:p>
      <w:pPr>
        <w:pStyle w:val="382"/>
        <w:numPr>
          <w:ilvl w:val="0"/>
          <w:numId w:val="2"/>
        </w:numPr>
        <w:spacing w:line="360" w:lineRule="auto"/>
        <w:ind w:left="0" w:firstLineChars="200" w:firstLine="420"/>
        <w:rPr>
          <w:rFonts w:ascii="宋体" w:cs="宋体" w:hint="eastAsia"/>
          <w:color w:val="auto"/>
          <w:kern w:val="0"/>
          <w:szCs w:val="21"/>
          <w:highlight w:val="auto"/>
        </w:rPr>
      </w:pPr>
      <w:r>
        <w:rPr>
          <w:rFonts w:ascii="宋体" w:cs="宋体" w:hint="eastAsia"/>
          <w:color w:val="auto"/>
          <w:kern w:val="0"/>
          <w:szCs w:val="21"/>
          <w:highlight w:val="auto"/>
        </w:rPr>
        <w:t>通用合同条款；</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（5）投标函及其附录（如有）；</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（6）</w:t>
      </w:r>
      <w:r>
        <w:rPr>
          <w:rFonts w:ascii="宋体" w:cs="宋体" w:hint="eastAsia"/>
          <w:color w:val="auto"/>
          <w:spacing w:val="2"/>
          <w:szCs w:val="21"/>
          <w:highlight w:val="auto"/>
        </w:rPr>
        <w:t>标准、规范及有关技术文件；</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（7）</w:t>
      </w:r>
      <w:r>
        <w:rPr>
          <w:rFonts w:ascii="宋体" w:cs="宋体" w:hint="eastAsia"/>
          <w:color w:val="auto"/>
          <w:spacing w:val="2"/>
          <w:szCs w:val="21"/>
          <w:highlight w:val="auto"/>
        </w:rPr>
        <w:t>图纸；</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（8）</w:t>
      </w:r>
      <w:r>
        <w:rPr>
          <w:rFonts w:ascii="宋体" w:cs="宋体" w:hint="eastAsia"/>
          <w:color w:val="auto"/>
          <w:spacing w:val="2"/>
          <w:szCs w:val="21"/>
          <w:lang w:eastAsia="zh-CN"/>
          <w:highlight w:val="auto"/>
        </w:rPr>
        <w:t>采购</w:t>
      </w:r>
      <w:r>
        <w:rPr>
          <w:rFonts w:ascii="宋体" w:cs="宋体" w:hint="eastAsia"/>
          <w:color w:val="auto"/>
          <w:spacing w:val="2"/>
          <w:szCs w:val="21"/>
          <w:highlight w:val="auto"/>
        </w:rPr>
        <w:t>文件（含补充通知和答疑）；</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（9）</w:t>
      </w:r>
      <w:r>
        <w:rPr>
          <w:rFonts w:ascii="宋体" w:cs="宋体" w:hint="eastAsia"/>
          <w:color w:val="auto"/>
          <w:spacing w:val="2"/>
          <w:szCs w:val="21"/>
          <w:highlight w:val="auto"/>
        </w:rPr>
        <w:t>已标价工程量清单；</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（10）</w:t>
      </w:r>
      <w:r>
        <w:rPr>
          <w:rFonts w:ascii="宋体" w:cs="宋体" w:hint="eastAsia"/>
          <w:color w:val="auto"/>
          <w:spacing w:val="2"/>
          <w:szCs w:val="21"/>
          <w:highlight w:val="auto"/>
        </w:rPr>
        <w:t>廉政责任书；</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（11）</w:t>
      </w:r>
      <w:r>
        <w:rPr>
          <w:rFonts w:ascii="宋体" w:cs="宋体" w:hint="eastAsia"/>
          <w:color w:val="auto"/>
          <w:spacing w:val="2"/>
          <w:szCs w:val="21"/>
          <w:highlight w:val="auto"/>
        </w:rPr>
        <w:t>履约保证金缴纳证明（如有）；</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（12）</w:t>
      </w:r>
      <w:r>
        <w:rPr>
          <w:rFonts w:ascii="宋体" w:cs="宋体" w:hint="eastAsia"/>
          <w:color w:val="auto"/>
          <w:spacing w:val="2"/>
          <w:szCs w:val="21"/>
          <w:highlight w:val="auto"/>
        </w:rPr>
        <w:t>农民工工资保障金缴纳证明；</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（13）</w:t>
      </w:r>
      <w:r>
        <w:rPr>
          <w:rFonts w:ascii="宋体" w:cs="宋体" w:hint="eastAsia"/>
          <w:color w:val="auto"/>
          <w:spacing w:val="2"/>
          <w:szCs w:val="21"/>
          <w:highlight w:val="auto"/>
        </w:rPr>
        <w:t>其他合同文件。</w:t>
      </w:r>
    </w:p>
    <w:p>
      <w:pPr>
        <w:pStyle w:val="382"/>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图纸与技术标准和要求之间有矛盾或者不一致的，以其中要求较严格的标准为准。</w:t>
      </w:r>
    </w:p>
    <w:p>
      <w:pPr>
        <w:pStyle w:val="382"/>
        <w:spacing w:line="360" w:lineRule="auto"/>
        <w:ind w:firstLineChars="200" w:firstLine="420"/>
        <w:rPr>
          <w:rFonts w:ascii="宋体" w:cs="宋体" w:hint="eastAsia"/>
          <w:color w:val="auto"/>
          <w:szCs w:val="21"/>
          <w:highlight w:val="auto"/>
        </w:rPr>
      </w:pPr>
      <w:r>
        <w:rPr>
          <w:rFonts w:ascii="宋体" w:cs="宋体" w:hint="eastAsia"/>
          <w:color w:val="auto"/>
          <w:kern w:val="0"/>
          <w:szCs w:val="21"/>
          <w:highlight w:val="auto"/>
        </w:rPr>
        <w:t>合同双方在合同履行过程中签订的补充协议亦构成合同文件的组成部分，其解释顺序视其内容与其他合同文件的相互关系而定。</w:t>
      </w:r>
    </w:p>
    <w:p>
      <w:pPr>
        <w:pStyle w:val="359"/>
        <w:spacing w:line="360" w:lineRule="auto"/>
        <w:rPr>
          <w:rFonts w:ascii="宋体" w:cs="宋体" w:hint="eastAsia"/>
          <w:b/>
          <w:bCs/>
          <w:color w:val="auto"/>
          <w:highlight w:val="auto"/>
        </w:rPr>
      </w:pPr>
      <w:r>
        <w:rPr>
          <w:rFonts w:ascii="宋体" w:cs="宋体" w:hint="eastAsia"/>
          <w:b/>
          <w:bCs/>
          <w:color w:val="auto"/>
          <w:highlight w:val="auto"/>
        </w:rPr>
        <w:t>1.6 图纸和承包人文件</w:t>
        <w:tab/>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1.6.1 图纸的提供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发包人向承包人提供图纸的期限：</w:t>
      </w:r>
      <w:r>
        <w:rPr>
          <w:rFonts w:ascii="宋体" w:cs="宋体" w:hint="eastAsia"/>
          <w:color w:val="auto"/>
          <w:u w:val="single"/>
          <w:highlight w:val="auto"/>
        </w:rPr>
        <w:t xml:space="preserve"> </w:t>
      </w:r>
      <w:r>
        <w:rPr>
          <w:rFonts w:ascii="宋体" w:cs="宋体" w:hint="eastAsia"/>
          <w:color w:val="auto"/>
          <w:spacing w:val="2"/>
          <w:szCs w:val="21"/>
          <w:u w:val="single"/>
          <w:highlight w:val="auto"/>
        </w:rPr>
        <w:t xml:space="preserve">合同生效后 7 天内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发包人向承包人提供图纸的数量：</w:t>
      </w:r>
      <w:r>
        <w:rPr>
          <w:rFonts w:ascii="宋体" w:cs="宋体" w:hint="eastAsia"/>
          <w:color w:val="auto"/>
          <w:u w:val="single"/>
          <w:highlight w:val="auto"/>
        </w:rPr>
        <w:t xml:space="preserve">  2  套</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发包人向承包人提供图纸的内容：</w:t>
      </w:r>
      <w:r>
        <w:rPr>
          <w:rFonts w:ascii="宋体" w:cs="宋体" w:hint="eastAsia"/>
          <w:color w:val="auto"/>
          <w:u w:val="single"/>
          <w:highlight w:val="auto"/>
        </w:rPr>
        <w:t xml:space="preserve"> </w:t>
      </w:r>
      <w:r>
        <w:rPr>
          <w:rFonts w:ascii="宋体" w:cs="宋体" w:hint="eastAsia"/>
          <w:color w:val="auto"/>
          <w:spacing w:val="2"/>
          <w:szCs w:val="21"/>
          <w:u w:val="single"/>
          <w:highlight w:val="auto"/>
        </w:rPr>
        <w:t xml:space="preserve">全套施工图纸和其他技术资料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1.6.4 承包人文件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需要由承包人提供的文件，包括：</w:t>
      </w:r>
      <w:r>
        <w:rPr>
          <w:rFonts w:ascii="宋体" w:cs="宋体" w:hint="eastAsia"/>
          <w:color w:val="auto"/>
          <w:szCs w:val="21"/>
          <w:u w:val="single"/>
          <w:highlight w:val="auto"/>
        </w:rPr>
        <w:t>施工组织设计和安全专项方案，其他需要由承包人提供的文件由双方另行确定</w:t>
      </w:r>
      <w:r>
        <w:rPr>
          <w:rFonts w:ascii="宋体" w:cs="宋体" w:hint="eastAsia"/>
          <w:color w:val="auto"/>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承包人提供的文件的期限为：</w:t>
      </w:r>
      <w:r>
        <w:rPr>
          <w:rFonts w:ascii="宋体" w:cs="宋体" w:hint="eastAsia"/>
          <w:color w:val="auto"/>
          <w:u w:val="single"/>
          <w:highlight w:val="auto"/>
        </w:rPr>
        <w:t xml:space="preserve">  </w:t>
      </w:r>
      <w:r>
        <w:rPr>
          <w:rFonts w:ascii="宋体" w:cs="宋体" w:hint="eastAsia"/>
          <w:color w:val="auto"/>
          <w:szCs w:val="24"/>
          <w:u w:val="single"/>
          <w:highlight w:val="auto"/>
        </w:rPr>
        <w:t>图纸会审后7日内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承包人提供的文件的数量为：</w:t>
      </w:r>
      <w:r>
        <w:rPr>
          <w:rFonts w:ascii="宋体" w:cs="宋体" w:hint="eastAsia"/>
          <w:color w:val="auto"/>
          <w:u w:val="single"/>
          <w:highlight w:val="auto"/>
        </w:rPr>
        <w:t xml:space="preserve">  </w:t>
      </w:r>
      <w:r>
        <w:rPr>
          <w:rFonts w:ascii="宋体" w:cs="宋体" w:hint="eastAsia"/>
          <w:color w:val="auto"/>
          <w:spacing w:val="2"/>
          <w:szCs w:val="21"/>
          <w:u w:val="single"/>
          <w:highlight w:val="auto"/>
        </w:rPr>
        <w:t>一式五份，监理工程师一份及发包人四份</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承包人提供的文件的形式为：</w:t>
      </w:r>
      <w:r>
        <w:rPr>
          <w:rFonts w:ascii="宋体" w:cs="宋体" w:hint="eastAsia"/>
          <w:color w:val="auto"/>
          <w:u w:val="single"/>
          <w:highlight w:val="auto"/>
        </w:rPr>
        <w:t xml:space="preserve">  </w:t>
      </w:r>
      <w:r>
        <w:rPr>
          <w:rFonts w:ascii="宋体" w:cs="宋体" w:hint="eastAsia"/>
          <w:color w:val="auto"/>
          <w:spacing w:val="2"/>
          <w:szCs w:val="21"/>
          <w:u w:val="single"/>
          <w:highlight w:val="auto"/>
        </w:rPr>
        <w:t>纸质或纸质+电子版(纸质以经承包人法定代表人签章并加盖单位公章文件形式提交)</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发包人审批承包人文件的期限：</w:t>
      </w:r>
      <w:r>
        <w:rPr>
          <w:rFonts w:ascii="宋体" w:cs="宋体" w:hint="eastAsia"/>
          <w:color w:val="auto"/>
          <w:u w:val="single"/>
          <w:highlight w:val="auto"/>
        </w:rPr>
        <w:t xml:space="preserve"> </w:t>
      </w:r>
      <w:r>
        <w:rPr>
          <w:rFonts w:ascii="宋体" w:cs="宋体" w:hint="eastAsia"/>
          <w:color w:val="auto"/>
          <w:spacing w:val="2"/>
          <w:szCs w:val="21"/>
          <w:u w:val="single"/>
          <w:highlight w:val="auto"/>
        </w:rPr>
        <w:t>文件签收后 7 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1.6.5 现场图纸准备</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关于现场图纸准备的约定：</w:t>
      </w:r>
      <w:r>
        <w:rPr>
          <w:rFonts w:ascii="宋体" w:cs="宋体" w:hint="eastAsia"/>
          <w:color w:val="auto"/>
          <w:u w:val="single"/>
          <w:highlight w:val="auto"/>
        </w:rPr>
        <w:t xml:space="preserve">  </w:t>
      </w:r>
      <w:r>
        <w:rPr>
          <w:rFonts w:ascii="宋体" w:cs="宋体" w:hint="eastAsia"/>
          <w:color w:val="auto"/>
          <w:spacing w:val="2"/>
          <w:szCs w:val="21"/>
          <w:u w:val="single"/>
          <w:highlight w:val="auto"/>
        </w:rPr>
        <w:t xml:space="preserve">承包人应在施工现场另外保存一套完整的图纸和承包人文件， </w:t>
      </w:r>
      <w:r>
        <w:rPr>
          <w:rFonts w:ascii="宋体" w:cs="宋体" w:hint="eastAsia"/>
          <w:color w:val="auto"/>
          <w:u w:val="single"/>
          <w:highlight w:val="auto"/>
        </w:rPr>
        <w:t xml:space="preserve"> 供发包人、监理人及有关人员进行工程检查时使用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1.7 联络</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1.7.1发包人和承包人应当在</w:t>
      </w:r>
      <w:r>
        <w:rPr>
          <w:rFonts w:ascii="宋体" w:cs="宋体" w:hint="eastAsia"/>
          <w:color w:val="auto"/>
          <w:u w:val="single"/>
          <w:highlight w:val="auto"/>
        </w:rPr>
        <w:t xml:space="preserve"> 7 </w:t>
      </w:r>
      <w:r>
        <w:rPr>
          <w:rFonts w:ascii="宋体" w:cs="宋体" w:hint="eastAsia"/>
          <w:color w:val="auto"/>
          <w:highlight w:val="auto"/>
        </w:rPr>
        <w:t>天内将与合同有关的通知、批准、证明、证书、指示、指令、要求、请求、同意、意见、确定和决定等书面函件送达对方当事人。如承包人公司地址发生变更，承包人应以书面函件通知发包人，否则产生的后果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1.7.2 发包人接收文件的地点：</w:t>
      </w:r>
      <w:r>
        <w:rPr>
          <w:rFonts w:ascii="宋体" w:cs="宋体" w:hint="eastAsia"/>
          <w:color w:val="auto"/>
          <w:szCs w:val="21"/>
          <w:u w:val="single"/>
          <w:highlight w:val="auto"/>
        </w:rPr>
        <w:t xml:space="preserve"> </w:t>
      </w:r>
      <w:r>
        <w:rPr>
          <w:rFonts w:ascii="宋体" w:cs="宋体" w:hint="eastAsia"/>
          <w:color w:val="auto"/>
          <w:kern w:val="0"/>
          <w:szCs w:val="21"/>
          <w:u w:val="single"/>
          <w:highlight w:val="auto"/>
        </w:rPr>
        <w:t>项目所在地施工现场工程部</w:t>
      </w:r>
      <w:r>
        <w:rPr>
          <w:rFonts w:ascii="宋体" w:cs="宋体" w:hint="eastAsia"/>
          <w:color w:val="auto"/>
          <w:szCs w:val="21"/>
          <w:u w:val="single"/>
          <w:highlight w:val="auto"/>
        </w:rPr>
        <w:t xml:space="preserve">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发包人指定的接收人为：</w:t>
      </w:r>
      <w:r>
        <w:rPr>
          <w:rFonts w:ascii="宋体" w:cs="宋体" w:hint="eastAsia"/>
          <w:color w:val="auto"/>
          <w:u w:val="single"/>
          <w:highlight w:val="auto"/>
        </w:rPr>
        <w:t xml:space="preserve"> </w:t>
      </w:r>
      <w:r>
        <w:rPr>
          <w:rFonts w:ascii="宋体" w:cs="宋体" w:hint="eastAsia"/>
          <w:color w:val="auto"/>
          <w:kern w:val="0"/>
          <w:szCs w:val="21"/>
          <w:u w:val="single"/>
          <w:highlight w:val="auto"/>
        </w:rPr>
        <w:t>项目所在地施工现场工程部人员</w:t>
      </w:r>
      <w:r>
        <w:rPr>
          <w:rFonts w:ascii="宋体" w:cs="宋体"/>
          <w:color w:val="auto"/>
          <w:szCs w:val="21"/>
          <w:u w:val="single"/>
          <w:highlight w:val="auto"/>
        </w:rPr>
        <w:t></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承包人接收文件的地点：</w:t>
      </w:r>
      <w:r>
        <w:rPr>
          <w:rFonts w:ascii="宋体" w:cs="宋体" w:hint="eastAsia"/>
          <w:color w:val="auto"/>
          <w:u w:val="single"/>
          <w:highlight w:val="auto"/>
        </w:rPr>
        <w:t xml:space="preserve"> </w:t>
      </w:r>
      <w:r>
        <w:rPr>
          <w:rFonts w:ascii="宋体" w:cs="宋体" w:hint="eastAsia"/>
          <w:color w:val="auto"/>
          <w:kern w:val="0"/>
          <w:szCs w:val="21"/>
          <w:u w:val="single"/>
          <w:highlight w:val="auto"/>
        </w:rPr>
        <w:t>项目所在地施工现场工程部</w:t>
      </w:r>
      <w:r>
        <w:rPr>
          <w:rFonts w:ascii="宋体" w:cs="宋体"/>
          <w:color w:val="auto"/>
          <w:szCs w:val="21"/>
          <w:u w:val="single"/>
          <w:highlight w:val="auto"/>
        </w:rPr>
        <w:t></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承包人指定的接收人为：</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合同协议书中载明的承包人项目经理本人或者项目经理的授权代表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监理人接收文件的地点：</w:t>
      </w:r>
      <w:r>
        <w:rPr>
          <w:rFonts w:ascii="宋体" w:cs="宋体" w:hint="eastAsia"/>
          <w:color w:val="auto"/>
          <w:u w:val="single"/>
          <w:highlight w:val="auto"/>
        </w:rPr>
        <w:t xml:space="preserve"> </w:t>
      </w:r>
      <w:r>
        <w:rPr>
          <w:rFonts w:ascii="宋体" w:cs="宋体" w:hint="eastAsia"/>
          <w:color w:val="auto"/>
          <w:kern w:val="0"/>
          <w:szCs w:val="21"/>
          <w:u w:val="single"/>
          <w:highlight w:val="auto"/>
        </w:rPr>
        <w:t>项目所在地施工现场监理部、监理人的办公场所</w:t>
      </w:r>
      <w:r>
        <w:rPr>
          <w:rFonts w:ascii="宋体" w:cs="宋体" w:hint="eastAsia"/>
          <w:color w:val="auto"/>
          <w:szCs w:val="21"/>
          <w:u w:val="single"/>
          <w:highlight w:val="auto"/>
        </w:rPr>
        <w:t xml:space="preserve">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监理人指定的接收人为：</w:t>
      </w:r>
      <w:r>
        <w:rPr>
          <w:rFonts w:ascii="宋体" w:cs="宋体" w:hint="eastAsia"/>
          <w:color w:val="auto"/>
          <w:u w:val="single"/>
          <w:highlight w:val="auto"/>
        </w:rPr>
        <w:t xml:space="preserve"> </w:t>
      </w:r>
      <w:r>
        <w:rPr>
          <w:rFonts w:ascii="宋体" w:cs="宋体" w:hint="eastAsia"/>
          <w:color w:val="auto"/>
          <w:kern w:val="0"/>
          <w:szCs w:val="21"/>
          <w:u w:val="single"/>
          <w:highlight w:val="auto"/>
        </w:rPr>
        <w:t>监理部人员</w:t>
      </w:r>
      <w:r>
        <w:rPr>
          <w:rFonts w:ascii="宋体" w:cs="宋体" w:hint="eastAsia"/>
          <w:color w:val="auto"/>
          <w:szCs w:val="21"/>
          <w:u w:val="single"/>
          <w:highlight w:val="auto"/>
        </w:rPr>
        <w:t xml:space="preserve"> </w:t>
      </w:r>
      <w:r>
        <w:rPr>
          <w:rFonts w:ascii="宋体" w:cs="宋体" w:hint="eastAsia"/>
          <w:color w:val="auto"/>
          <w:kern w:val="0"/>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1.10 交通运输</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1.10.1 出入现场的权利</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关于出入现场的权利的约定：</w:t>
      </w:r>
      <w:r>
        <w:rPr>
          <w:rFonts w:ascii="宋体" w:cs="宋体" w:hint="eastAsia"/>
          <w:color w:val="auto"/>
          <w:u w:val="single"/>
          <w:highlight w:val="auto"/>
        </w:rPr>
        <w:t>承包人负责办理取得道路通行权、场外设施修建权，其相关费用由承包人承担；负责施工所需的场内临时道路和交通设施的修建、维护、养护和管理，相关费用由承包人承担。发包人和监理人有权无偿使用承包人修建的临时道路和交通设施，不需要交纳任何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1.10.3 场内交通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关于场外交通和场内交通的边界的约定：</w:t>
      </w:r>
      <w:r>
        <w:rPr>
          <w:rFonts w:ascii="宋体" w:cs="宋体" w:hint="eastAsia"/>
          <w:color w:val="auto"/>
          <w:kern w:val="0"/>
          <w:szCs w:val="21"/>
          <w:u w:val="single"/>
          <w:highlight w:val="auto"/>
        </w:rPr>
        <w:t>本项目约定工程所在地块红线范围内为场内。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关于发包人向承包人免费提供满足工程施工需要的场内道路和交通设施的约定：</w:t>
      </w:r>
      <w:r>
        <w:rPr>
          <w:rFonts w:ascii="宋体" w:cs="宋体" w:hint="eastAsia"/>
          <w:color w:val="auto"/>
          <w:kern w:val="0"/>
          <w:szCs w:val="21"/>
          <w:u w:val="single"/>
          <w:highlight w:val="auto"/>
        </w:rPr>
        <w:t>由承包人根据现场实际自行承担，费用自理</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1.10.4超大件和超重件的运输</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运输超大件或超重件所需的道路和桥梁临时加固改造费用和其他有关费用由</w:t>
      </w:r>
      <w:r>
        <w:rPr>
          <w:rFonts w:ascii="宋体" w:cs="宋体" w:hint="eastAsia"/>
          <w:color w:val="auto"/>
          <w:u w:val="single"/>
          <w:highlight w:val="auto"/>
        </w:rPr>
        <w:t xml:space="preserve">  承包人  </w:t>
      </w:r>
      <w:r>
        <w:rPr>
          <w:rFonts w:ascii="宋体" w:cs="宋体" w:hint="eastAsia"/>
          <w:color w:val="auto"/>
          <w:highlight w:val="auto"/>
        </w:rPr>
        <w:t>承担。</w:t>
      </w:r>
    </w:p>
    <w:p>
      <w:pPr>
        <w:pStyle w:val="359"/>
        <w:spacing w:line="360" w:lineRule="auto"/>
        <w:rPr>
          <w:rFonts w:ascii="宋体" w:cs="宋体" w:hint="eastAsia"/>
          <w:b/>
          <w:bCs/>
          <w:color w:val="auto"/>
          <w:highlight w:val="auto"/>
        </w:rPr>
      </w:pPr>
      <w:r>
        <w:rPr>
          <w:rFonts w:ascii="宋体" w:cs="宋体" w:hint="eastAsia"/>
          <w:b/>
          <w:bCs/>
          <w:color w:val="auto"/>
          <w:highlight w:val="auto"/>
        </w:rPr>
        <w:t>1.11 知识产权</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1.11.1关于发包人提供给承包人的图纸、发包人为实施工程自行编制或委托编制的技术规范以及反映发包人关于合同要求或其他类似性质的文件的著作权的归属：属于发包人。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提供的上述文件的使用限制的要求：承包人可以为实现本合同目的而复制、使用此类文件，但不能用于与合同无关的其他事项，未经发包人同意，承包人不得为了合同以外的目的而复制、使用上述文件或将之提供给任何第三方。</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1.11.2 关于承包人为实施工程所编制文件的著作权的归属：</w:t>
      </w:r>
      <w:r>
        <w:rPr>
          <w:rFonts w:ascii="宋体" w:cs="宋体" w:hint="eastAsia"/>
          <w:color w:val="auto"/>
          <w:u w:val="single"/>
          <w:highlight w:val="auto"/>
        </w:rPr>
        <w:t>承包人为实施工程所编制的文件，除署名权以外的著作权属于发包人</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关于承包人提供的上述文件的使用限制的要求：</w:t>
      </w:r>
      <w:r>
        <w:rPr>
          <w:rFonts w:ascii="宋体" w:cs="宋体" w:hint="eastAsia"/>
          <w:color w:val="auto"/>
          <w:u w:val="single"/>
          <w:highlight w:val="auto"/>
        </w:rPr>
        <w:t>承包人可因实施工程的运行、调试、维修、改造等目的而复制、使用此类文件，但不能用于与合同无关的其他事项。未经发包人书面同意，承包人不得为了合同以外的目的而复制、使用上述文件或将之提供给任何第三方</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 xml:space="preserve">1.11.4 承包人在施工过程中所采用的专利、专有技术、技术秘密的使用费的承担方式： </w:t>
      </w:r>
      <w:r>
        <w:rPr>
          <w:rFonts w:ascii="宋体" w:cs="宋体" w:hint="eastAsia"/>
          <w:color w:val="auto"/>
          <w:u w:val="single"/>
          <w:highlight w:val="auto"/>
        </w:rPr>
        <w:t>承包人在合同签订前和签订时已确定采用的专利、专有技术、技术秘密的使用费已包含在签约合同价中（由承包人承担）</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1.13工程量清单错误的修正</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出现工程量清单工程量偏差时</w:t>
      </w:r>
      <w:r>
        <w:rPr>
          <w:rFonts w:ascii="宋体" w:cs="宋体" w:hint="eastAsia"/>
          <w:color w:val="auto"/>
          <w:highlight w:val="auto"/>
        </w:rPr>
        <w:t>，是否调整合同价格：</w:t>
      </w:r>
      <w:r>
        <w:rPr>
          <w:rFonts w:ascii="宋体" w:cs="宋体" w:hint="eastAsia"/>
          <w:color w:val="auto"/>
          <w:kern w:val="2"/>
          <w:szCs w:val="21"/>
          <w:u w:val="single"/>
          <w:highlight w:val="auto"/>
        </w:rPr>
        <w:t>合同履行期间，由于招标工程量清单缺项、漏项，新增分部分项工程清单项目的，按照以下规定确定单价：（1）合同在已有适用的综合单价，按合同中已有的综合单价确定；（2）合同中有类似的综合单价，参照类似的综合单价确定；（3）合同中没有适用或类似的综合单价，有定额的套定额，并乘以下浮系数（中标价/经审定的工程招标控制价）计算，其中材料价格按施工期限间的《</w:t>
      </w:r>
      <w:r>
        <w:rPr>
          <w:rFonts w:ascii="宋体" w:cs="宋体" w:hint="eastAsia"/>
          <w:color w:val="auto"/>
          <w:kern w:val="2"/>
          <w:szCs w:val="21"/>
          <w:u w:val="single"/>
          <w:lang w:val="en-US" w:eastAsia="zh-CN"/>
          <w:highlight w:val="auto"/>
        </w:rPr>
        <w:t>崇左</w:t>
      </w:r>
      <w:r>
        <w:rPr>
          <w:rFonts w:ascii="宋体" w:cs="宋体" w:hint="eastAsia"/>
          <w:color w:val="auto"/>
          <w:kern w:val="2"/>
          <w:szCs w:val="21"/>
          <w:u w:val="single"/>
          <w:highlight w:val="auto"/>
        </w:rPr>
        <w:t>市建设工程造价信息》相应价格信息进行计算；《</w:t>
      </w:r>
      <w:r>
        <w:rPr>
          <w:rFonts w:ascii="宋体" w:cs="宋体" w:hint="eastAsia"/>
          <w:color w:val="auto"/>
          <w:kern w:val="2"/>
          <w:szCs w:val="21"/>
          <w:u w:val="single"/>
          <w:lang w:val="en-US" w:eastAsia="zh-CN"/>
          <w:highlight w:val="auto"/>
        </w:rPr>
        <w:t>崇左</w:t>
      </w:r>
      <w:r>
        <w:rPr>
          <w:rFonts w:ascii="宋体" w:cs="宋体" w:hint="eastAsia"/>
          <w:color w:val="auto"/>
          <w:kern w:val="2"/>
          <w:szCs w:val="21"/>
          <w:u w:val="single"/>
          <w:highlight w:val="auto"/>
        </w:rPr>
        <w:t>市建设工程造价信息》没有相应价格信息的按市场价计算；无定额可套的，根据市场价格协商确定综合价格；新增项目的单价必须</w:t>
      </w:r>
      <w:r>
        <w:rPr>
          <w:rFonts w:ascii="宋体" w:cs="宋体" w:hint="eastAsia"/>
          <w:bCs/>
          <w:color w:val="auto"/>
          <w:szCs w:val="21"/>
          <w:u w:val="single"/>
          <w:highlight w:val="auto"/>
        </w:rPr>
        <w:t>经财政部门审定</w:t>
      </w:r>
      <w:r>
        <w:rPr>
          <w:rFonts w:ascii="宋体" w:cs="宋体" w:hint="eastAsia"/>
          <w:color w:val="auto"/>
          <w:spacing w:val="2"/>
          <w:szCs w:val="21"/>
          <w:u w:val="single"/>
          <w:highlight w:val="auto"/>
        </w:rPr>
        <w:t xml:space="preserve"> </w:t>
      </w:r>
      <w:r>
        <w:rPr>
          <w:rFonts w:ascii="宋体" w:cs="宋体" w:hint="eastAsia"/>
          <w:color w:val="auto"/>
          <w:kern w:val="0"/>
          <w:szCs w:val="21"/>
          <w:highlight w:val="auto"/>
        </w:rPr>
        <w:t>。</w:t>
      </w:r>
    </w:p>
    <w:p>
      <w:pPr>
        <w:pStyle w:val="382"/>
        <w:spacing w:line="360" w:lineRule="auto"/>
        <w:ind w:firstLineChars="200" w:firstLine="420"/>
        <w:rPr>
          <w:rFonts w:ascii="宋体" w:cs="宋体" w:hint="eastAsia"/>
          <w:color w:val="auto"/>
          <w:highlight w:val="auto"/>
        </w:rPr>
      </w:pPr>
      <w:r>
        <w:rPr>
          <w:rFonts w:ascii="宋体" w:cs="宋体" w:hint="eastAsia"/>
          <w:color w:val="auto"/>
          <w:highlight w:val="auto"/>
        </w:rPr>
        <w:t>允许调整合同价格的工程量偏差范围及</w:t>
      </w:r>
      <w:r>
        <w:rPr>
          <w:rFonts w:ascii="宋体" w:cs="宋体" w:hint="eastAsia"/>
          <w:color w:val="auto"/>
          <w:szCs w:val="21"/>
          <w:highlight w:val="auto"/>
        </w:rPr>
        <w:t>其调整办法</w:t>
      </w:r>
      <w:r>
        <w:rPr>
          <w:rFonts w:ascii="宋体" w:cs="宋体" w:hint="eastAsia"/>
          <w:color w:val="auto"/>
          <w:highlight w:val="auto"/>
        </w:rPr>
        <w:t>：</w:t>
      </w:r>
      <w:r>
        <w:rPr>
          <w:rFonts w:ascii="宋体" w:cs="宋体" w:hint="eastAsia"/>
          <w:color w:val="auto"/>
          <w:kern w:val="2"/>
          <w:szCs w:val="21"/>
          <w:u w:val="single"/>
          <w:highlight w:val="auto"/>
        </w:rPr>
        <w:t>国家和自治区政策性调整有关费用标准的，按文件规定执行</w:t>
      </w:r>
      <w:r>
        <w:rPr>
          <w:rFonts w:ascii="宋体" w:cs="宋体" w:hint="eastAsia"/>
          <w:color w:val="auto"/>
          <w:kern w:val="0"/>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2. 发包人</w:t>
      </w:r>
    </w:p>
    <w:p>
      <w:pPr>
        <w:pStyle w:val="359"/>
        <w:spacing w:line="360" w:lineRule="auto"/>
        <w:rPr>
          <w:rFonts w:ascii="宋体" w:cs="宋体" w:hint="eastAsia"/>
          <w:b/>
          <w:bCs/>
          <w:color w:val="auto"/>
          <w:highlight w:val="auto"/>
        </w:rPr>
      </w:pPr>
      <w:r>
        <w:rPr>
          <w:rFonts w:ascii="宋体" w:cs="宋体" w:hint="eastAsia"/>
          <w:b/>
          <w:bCs/>
          <w:color w:val="auto"/>
          <w:highlight w:val="auto"/>
        </w:rPr>
        <w:t>2.2 发包人代表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姓    名：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身份证号：</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职    务：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发包人对发包人代表的授权范围如下： </w:t>
      </w:r>
      <w:r>
        <w:rPr>
          <w:rFonts w:ascii="宋体" w:cs="宋体" w:hint="eastAsia"/>
          <w:color w:val="auto"/>
          <w:u w:val="single"/>
          <w:highlight w:val="auto"/>
        </w:rPr>
        <w:t xml:space="preserve"> </w:t>
      </w:r>
      <w:r>
        <w:rPr>
          <w:rFonts w:ascii="宋体" w:cs="宋体" w:hint="eastAsia"/>
          <w:color w:val="auto"/>
          <w:kern w:val="0"/>
          <w:szCs w:val="21"/>
          <w:u w:val="single"/>
          <w:highlight w:val="auto"/>
        </w:rPr>
        <w:t xml:space="preserve"> 涉及本工程的所有管理 </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360"/>
        <w:spacing w:line="360" w:lineRule="auto"/>
        <w:ind w:firstLineChars="200" w:firstLine="420"/>
        <w:rPr>
          <w:rFonts w:ascii="宋体" w:cs="宋体" w:hint="eastAsia"/>
          <w:color w:val="auto"/>
          <w:highlight w:val="auto"/>
        </w:rPr>
      </w:pPr>
      <w:r>
        <w:rPr>
          <w:rFonts w:ascii="宋体" w:cs="宋体" w:hint="eastAsia"/>
          <w:color w:val="auto"/>
          <w:szCs w:val="21"/>
          <w:u w:val="single"/>
          <w:highlight w:val="auto"/>
        </w:rPr>
        <w:t>特别注明：以上事项需要报请发包人审批及决定的，应按程序报发包人审批。</w:t>
      </w:r>
    </w:p>
    <w:p>
      <w:pPr>
        <w:pStyle w:val="359"/>
        <w:spacing w:line="360" w:lineRule="auto"/>
        <w:rPr>
          <w:rFonts w:ascii="宋体" w:cs="宋体" w:hint="eastAsia"/>
          <w:b/>
          <w:bCs/>
          <w:color w:val="auto"/>
          <w:highlight w:val="auto"/>
        </w:rPr>
      </w:pPr>
      <w:r>
        <w:rPr>
          <w:rFonts w:ascii="宋体" w:cs="宋体" w:hint="eastAsia"/>
          <w:b/>
          <w:bCs/>
          <w:color w:val="auto"/>
          <w:highlight w:val="auto"/>
        </w:rPr>
        <w:t>2.4 施工现场、施工条件和基础资料的提供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2.4.1 提供施工现场</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关于发包人移交施工现场的期限要求：</w:t>
      </w:r>
      <w:r>
        <w:rPr>
          <w:rFonts w:ascii="宋体" w:cs="宋体" w:hint="eastAsia"/>
          <w:color w:val="auto"/>
          <w:u w:val="single"/>
          <w:highlight w:val="auto"/>
        </w:rPr>
        <w:t>发包人应最迟于开工日期7天前向承包人移交施工现场</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2.4.2 提供施工条件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关于发包人应负责提供施工所需要的条件，包括：</w:t>
      </w:r>
      <w:r>
        <w:rPr>
          <w:rFonts w:ascii="宋体" w:cs="宋体" w:hint="eastAsia"/>
          <w:color w:val="auto"/>
          <w:u w:val="single"/>
          <w:highlight w:val="auto"/>
        </w:rPr>
        <w:t>负责提供施工场地内地下管线和地下设施等有关资料，并保证资料的真实、准确和完整</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施工所需的水、电、电讯线路接至施工场地的时间、地点和供应要求：</w:t>
      </w:r>
      <w:r>
        <w:rPr>
          <w:rFonts w:ascii="宋体" w:cs="宋体" w:hint="eastAsia"/>
          <w:color w:val="auto"/>
          <w:u w:val="single"/>
          <w:highlight w:val="auto"/>
        </w:rPr>
        <w:t>施工现场及建筑物沿边向外500M以内的临时道路、水、电、管线等费用由承包人在投标报价中自行考虑。若供水、供电部门的原因造成停水、停电，承包人必须自行解决施工用水、用电，费用自理。</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土方作业时冲洗平台和密闭车辆的标准:全封闭泥头车、自动冲洗设备，严格按照</w:t>
      </w:r>
      <w:r>
        <w:rPr>
          <w:rFonts w:ascii="宋体" w:cs="宋体" w:hint="eastAsia"/>
          <w:color w:val="auto"/>
          <w:u w:val="single"/>
          <w:lang w:eastAsia="zh-CN"/>
          <w:highlight w:val="auto"/>
        </w:rPr>
        <w:t>崇左</w:t>
      </w:r>
      <w:r>
        <w:rPr>
          <w:rFonts w:ascii="宋体" w:cs="宋体" w:hint="eastAsia"/>
          <w:color w:val="auto"/>
          <w:u w:val="single"/>
          <w:highlight w:val="auto"/>
        </w:rPr>
        <w:t>市环保、质监、建委等相关部门的规定执行。</w:t>
      </w:r>
    </w:p>
    <w:p>
      <w:pPr>
        <w:pStyle w:val="359"/>
        <w:spacing w:line="360" w:lineRule="auto"/>
        <w:rPr>
          <w:rFonts w:ascii="宋体" w:cs="宋体" w:hint="eastAsia"/>
          <w:b/>
          <w:bCs/>
          <w:color w:val="auto"/>
          <w:highlight w:val="auto"/>
        </w:rPr>
      </w:pPr>
      <w:r>
        <w:rPr>
          <w:rFonts w:ascii="宋体" w:cs="宋体" w:hint="eastAsia"/>
          <w:b/>
          <w:bCs/>
          <w:color w:val="auto"/>
          <w:highlight w:val="auto"/>
        </w:rPr>
        <w:t>2.5 资金来源证明及支付担保</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发包人提供资金来源证明的期限要求：</w:t>
      </w:r>
      <w:r>
        <w:rPr>
          <w:rFonts w:ascii="宋体" w:cs="宋体" w:hint="eastAsia"/>
          <w:color w:val="auto"/>
          <w:u w:val="single"/>
          <w:highlight w:val="auto"/>
        </w:rPr>
        <w:t>招标前资金已落实到位</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发包人是否提供支付担保：</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发包人提供支付担保的形式：</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3. 承包人</w:t>
      </w:r>
    </w:p>
    <w:p>
      <w:pPr>
        <w:pStyle w:val="359"/>
        <w:spacing w:line="360" w:lineRule="auto"/>
        <w:rPr>
          <w:rFonts w:ascii="宋体" w:cs="宋体" w:hint="eastAsia"/>
          <w:b/>
          <w:bCs/>
          <w:color w:val="auto"/>
          <w:highlight w:val="auto"/>
        </w:rPr>
      </w:pPr>
      <w:r>
        <w:rPr>
          <w:rFonts w:ascii="宋体" w:cs="宋体" w:hint="eastAsia"/>
          <w:b/>
          <w:bCs/>
          <w:color w:val="auto"/>
          <w:highlight w:val="auto"/>
        </w:rPr>
        <w:t>3.1 承包人的一般义务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3.1.1承包人提交的竣工资料的内容：按照法律规定和合同约定编制的竣工资料，符合工程所在地建设行政主管部门和(或)城市建设档案管理机构有关施工资料的要求，并立卷及归档。 属于自治区级和市级的重大项目需分别按自治区档案局和市档案局要求配合发包人进行档案专项验收工作。</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承包人需要提交的竣工资料套数：</w:t>
      </w:r>
      <w:r>
        <w:rPr>
          <w:rFonts w:ascii="宋体" w:cs="宋体" w:hint="eastAsia"/>
          <w:color w:val="auto"/>
          <w:u w:val="single"/>
          <w:highlight w:val="auto"/>
        </w:rPr>
        <w:t xml:space="preserve">竣工资料及竣工报告5份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承包人提交的竣工资料的费用承担：</w:t>
      </w:r>
      <w:r>
        <w:rPr>
          <w:rFonts w:ascii="宋体" w:cs="宋体" w:hint="eastAsia"/>
          <w:color w:val="auto"/>
          <w:spacing w:val="2"/>
          <w:szCs w:val="21"/>
          <w:u w:val="single"/>
          <w:highlight w:val="auto"/>
        </w:rPr>
        <w:t>承包人自行承担，</w:t>
      </w:r>
      <w:r>
        <w:rPr>
          <w:rFonts w:ascii="宋体" w:cs="宋体" w:hint="eastAsia"/>
          <w:color w:val="auto"/>
          <w:szCs w:val="21"/>
          <w:u w:val="single"/>
          <w:highlight w:val="auto"/>
        </w:rPr>
        <w:t>包括但不限于竣工资料编制、竣工档案整理综合服务、移交档案馆等相关费用</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承包人提交的竣工资料移交时间：</w:t>
      </w:r>
      <w:r>
        <w:rPr>
          <w:rFonts w:ascii="宋体" w:cs="宋体" w:hint="eastAsia"/>
          <w:color w:val="auto"/>
          <w:kern w:val="0"/>
          <w:szCs w:val="21"/>
          <w:u w:val="single"/>
          <w:highlight w:val="auto"/>
        </w:rPr>
        <w:t>竣工验收正式通过后15天，提供竣工图的数量至少6套（含word/excel/pdf/CAD格式）</w:t>
      </w:r>
      <w:r>
        <w:rPr>
          <w:rFonts w:ascii="宋体" w:cs="宋体" w:hint="eastAsia"/>
          <w:color w:val="auto"/>
          <w:u w:val="single"/>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承包人提交的竣工资料形式要求：</w:t>
      </w:r>
      <w:r>
        <w:rPr>
          <w:rFonts w:ascii="宋体" w:cs="宋体" w:hint="eastAsia"/>
          <w:color w:val="auto"/>
          <w:spacing w:val="2"/>
          <w:szCs w:val="21"/>
          <w:u w:val="single"/>
          <w:highlight w:val="auto"/>
        </w:rPr>
        <w:t>纸质及电子文档,纸质文档装订成册</w:t>
      </w:r>
      <w:r>
        <w:rPr>
          <w:rFonts w:ascii="宋体" w:cs="宋体" w:hint="eastAsia"/>
          <w:color w:val="auto"/>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3.1.2承包人应履行的其他义务：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施工场地周围地下管线和邻近建筑物、构筑物（含文物保护建筑）、古树名木的保护要求及费用承担：承包人施工时应探明施工场地周围地下管线和邻近建筑物、构筑物（含文物保护建筑）、古树名木并负责按相关要求保护，如探明发现有施工场地周围地下管线和邻近建筑物、构筑物（含文物保护建筑）、古树名木时须第一时间以书面形式报告给发包人，由发包人协调处理。如承包人施工时损坏地下管线、邻近建筑物、构筑物，所发生费用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②取土场及弃土场由承包人自行解决，且承担相关费用，地点和运距经发包人审核同意后办理相关手续，但不得违反相关管理规定。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③配合发包人做好安全文明宣传、领导检查宣传等工作，相关费用由承包人承担。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④承包人生活设施及施工场地，应自费配备消防设备，防止火灾发生。</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⑤承包人的临时用地（含项目部驻地等） 租用费（含拆迁补偿）、临时用地的环保、恢复、临时用地的青苗补偿及地面附着物拆除等费用均由承包人负责，以上费用在投标报价中综合考虑。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⑥承包人负责合同实施期间其合同段内临时交通道路（含场内外连接公共交通道路）和交通设施的修建、维修、养护和交通管理工作，并承担一切费用。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⑦承包人修建的临时道路和交通设施，应免费提供给发包人、监理工程师和其他合同段的 承包人使用，如共同使用的路基损坏严重，发包人或监理工程师将负责通知有关承包人共同出资修复，若使用频率相差悬殊，则按比例分摊。</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⑧发包人仅接受承包人书面授权的唯一代理人，办理相关支付手续。</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⑨合同履行期间，承包人不按核批的进度计划组织施工，经监理书面通知整改而未满足要求，经发包人书面通知3日内仍未能有效整改的，发包人有权对无进度履约能力的部位或部分进行强制分割，组织其他满足法规规定的其它单位或组织负责赶工作业，但不免除承包人的合同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⑩发包人对承包人无进度履约能力的部位和部分进行强制分割而形成的相关费用，须及时完善手续，列入承包人成本。发包人需及时组织监理，实施分割作业的队组负责人、承包人代表等对现场形成的费用等共同确认，若承包人人为或故意缺席则视为对此现场费用的确认，且不能免除承包人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⑪需承包人办理的有关施工场地交通、环卫和施工噪音管理等手续：因施工需要，经发包人批准，由承包人办理和负责费用。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⑫施工场地清洁卫生的要求：由于施工造成的环境污染，其责任和费用均由承包人承担。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⑬按照广西壮族自治区总工会、广西壮族自治区住房和城乡建设厅《关于进一步加强全区住房城乡建设系统组建工会和职工维权工作的意见》(桂工发[2013]29号)，承包人应在收到中标通知书之日起10个工作日内，成立项目工会并拨缴工会经费（建会筹备金）。应缴工会经费额的参考标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a.房建工程（含厂房和高层）的工会经费为工程项目中标价×10%×2%；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b.学生公寓及教学综合楼的工会经费为工程项目中标价×6%×2%；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c.市政工程的工会经费为工程项目中标价×5%×2%；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d.装饰工程的工会经费为工程项目中标价×4%×2%。</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⑭承包人应选择具有相应资质的运输单位进行砂石物料的运输，确保相关运输单位具有道路运输许可证，砂石物料运输车辆必须符合市环保、质监部门有关密闭管理的要求。</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⑮承包人需强化散装水泥、预拌混凝土或者预拌砂浆场站管理，禁止接收各类超载超限等违规违章车辆运输的砂石物料。</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⑯施工场地红线范围内发生“数字城管案件”的处置要求及费用承担：承包人进场施工后至缺陷责任期满这段时间发生的“市长热线”、“媒体曝光”、“数字城管案件”及线上督办等文明施工或工程质量问题的，必须在要求完成时限前按质按量完成案件处置，所发生费用由承包人承担。承包人无正当理由未按期或拒不完成文明施工问题处置的，视为承包人违约，必须向发包人交纳处罚金 1000-10000元/次（件）（人民币），具体金额视问题处置难易程度而定，且发包人可另行委托其他施工队伍负责整改，由此所发生的一切费用由承包人负责。若出现假完成案件的，视为承包人违约，违约金为10000元/条（处）。</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⑰发包人需召开会议时，重要会议至少提前12个小时、临时会议至少提前3个小时通知承包人，重要会议要求承包人的项目经理应参加且按时到达，若承包人未经发包人同意不参加或不按时参加会议累计达三次的，视承包人违约，按2000元/人·次追究承包人违约责任，承包人不得因此向发包人提出任何索赔。</w:t>
      </w:r>
    </w:p>
    <w:p>
      <w:pPr>
        <w:pStyle w:val="359"/>
        <w:spacing w:line="360" w:lineRule="auto"/>
        <w:ind w:firstLineChars="200" w:firstLine="420"/>
        <w:rPr>
          <w:rFonts w:ascii="宋体" w:cs="宋体" w:hint="eastAsia"/>
          <w:bCs/>
          <w:color w:val="auto"/>
          <w:highlight w:val="auto"/>
        </w:rPr>
      </w:pPr>
      <w:r>
        <w:rPr>
          <w:rFonts w:ascii="宋体" w:cs="宋体" w:hint="eastAsia"/>
          <w:bCs/>
          <w:color w:val="auto"/>
          <w:highlight w:val="auto"/>
        </w:rPr>
        <w:t>⑱承包人在办理施工许可手续前，向银行开设农民工工资支付专用账户，通过银行转账方式，确保按月足额发放农民工工资。</w:t>
      </w:r>
    </w:p>
    <w:p>
      <w:pPr>
        <w:pStyle w:val="359"/>
        <w:spacing w:line="360" w:lineRule="auto"/>
        <w:rPr>
          <w:rFonts w:ascii="宋体" w:cs="宋体" w:hint="eastAsia"/>
          <w:b/>
          <w:bCs/>
          <w:color w:val="auto"/>
          <w:highlight w:val="auto"/>
        </w:rPr>
      </w:pPr>
      <w:r>
        <w:rPr>
          <w:rFonts w:ascii="宋体" w:cs="宋体" w:hint="eastAsia"/>
          <w:b/>
          <w:bCs/>
          <w:color w:val="auto"/>
          <w:highlight w:val="auto"/>
        </w:rPr>
        <w:t>3.2 项目经理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3.2.1 项目经理：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姓    名：</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身份证号：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建造师执业资格等级：</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建造师注册证书号：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建造师执业印章号：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安全生产考核合格证书号：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w:t>
      </w:r>
      <w:r>
        <w:rPr>
          <w:rFonts w:ascii="宋体" w:cs="宋体" w:hint="eastAsia"/>
          <w:color w:val="auto"/>
          <w:highlight w:val="auto"/>
        </w:rPr>
        <w:t>；</w:t>
      </w:r>
    </w:p>
    <w:p>
      <w:pPr>
        <w:pStyle w:val="382"/>
        <w:spacing w:line="360" w:lineRule="auto"/>
        <w:ind w:firstLineChars="200" w:firstLine="420"/>
        <w:rPr>
          <w:rFonts w:ascii="宋体" w:cs="宋体" w:hint="eastAsia"/>
          <w:color w:val="auto"/>
          <w:szCs w:val="21"/>
          <w:highlight w:val="auto"/>
        </w:rPr>
      </w:pPr>
      <w:r>
        <w:rPr>
          <w:rFonts w:ascii="宋体" w:cs="宋体" w:hint="eastAsia"/>
          <w:color w:val="auto"/>
          <w:highlight w:val="auto"/>
        </w:rPr>
        <w:t>3.2.2 承包人对项目经理的授权范围如下：</w:t>
      </w:r>
      <w:r>
        <w:rPr>
          <w:rFonts w:ascii="宋体" w:cs="宋体" w:hint="eastAsia"/>
          <w:color w:val="auto"/>
          <w:szCs w:val="21"/>
          <w:u w:val="single"/>
          <w:highlight w:val="auto"/>
        </w:rPr>
        <w:t xml:space="preserve"> </w:t>
      </w:r>
      <w:r>
        <w:rPr>
          <w:rFonts w:ascii="宋体" w:cs="宋体" w:hint="eastAsia"/>
          <w:color w:val="auto"/>
          <w:kern w:val="0"/>
          <w:szCs w:val="21"/>
          <w:u w:val="single"/>
          <w:highlight w:val="auto"/>
        </w:rPr>
        <w:t>全面履行施工工程项目的</w:t>
      </w:r>
      <w:r>
        <w:rPr>
          <w:rFonts w:ascii="宋体" w:cs="宋体" w:hint="eastAsia"/>
          <w:color w:val="auto"/>
          <w:kern w:val="0"/>
          <w:szCs w:val="21"/>
          <w:u w:val="single"/>
          <w:highlight w:val="auto"/>
        </w:rPr>
        <w:fldChar w:fldCharType="begin"/>
      </w:r>
      <w:r>
        <w:instrText>HYPERLINK "http://www.fdcew.com/jzxt/Index.html" /h"</w:instrText>
      </w:r>
      <w:r>
        <w:rPr>
          <w:rFonts w:ascii="宋体" w:cs="宋体" w:hint="eastAsia"/>
          <w:color w:val="auto"/>
          <w:kern w:val="0"/>
          <w:szCs w:val="21"/>
          <w:u w:val="single"/>
          <w:highlight w:val="auto"/>
        </w:rPr>
        <w:fldChar w:fldCharType="separate"/>
      </w:r>
      <w:r>
        <w:rPr>
          <w:rFonts w:ascii="宋体" w:cs="宋体" w:hint="eastAsia"/>
          <w:color w:val="auto"/>
          <w:kern w:val="0"/>
          <w:szCs w:val="21"/>
          <w:u w:val="single"/>
          <w:highlight w:val="auto"/>
        </w:rPr>
        <w:t>建筑</w:t>
      </w:r>
      <w:r>
        <w:rPr>
          <w:rFonts w:ascii="宋体" w:cs="宋体" w:hint="eastAsia"/>
          <w:color w:val="auto"/>
          <w:kern w:val="0"/>
          <w:szCs w:val="21"/>
          <w:u w:val="single"/>
          <w:highlight w:val="auto"/>
        </w:rPr>
        <w:fldChar w:fldCharType="end"/>
      </w:r>
      <w:r>
        <w:rPr>
          <w:rFonts w:ascii="宋体" w:cs="宋体" w:hint="eastAsia"/>
          <w:color w:val="auto"/>
          <w:kern w:val="0"/>
          <w:szCs w:val="21"/>
          <w:u w:val="single"/>
          <w:highlight w:val="auto"/>
        </w:rPr>
        <w:t>承包管理职责，为工程参与各方做好协调和服务，在资金、质量、安全、环境保护、文明</w:t>
      </w:r>
      <w:r>
        <w:rPr>
          <w:rFonts w:ascii="宋体" w:cs="宋体" w:hint="eastAsia"/>
          <w:color w:val="auto"/>
          <w:kern w:val="0"/>
          <w:szCs w:val="21"/>
          <w:u w:val="single"/>
          <w:highlight w:val="auto"/>
        </w:rPr>
        <w:fldChar w:fldCharType="begin"/>
      </w:r>
      <w:r>
        <w:instrText>HYPERLINK "http://www.fdcew.com/Soft/jzsg/Index.html" /h"</w:instrText>
      </w:r>
      <w:r>
        <w:rPr>
          <w:rFonts w:ascii="宋体" w:cs="宋体" w:hint="eastAsia"/>
          <w:color w:val="auto"/>
          <w:kern w:val="0"/>
          <w:szCs w:val="21"/>
          <w:u w:val="single"/>
          <w:highlight w:val="auto"/>
        </w:rPr>
        <w:fldChar w:fldCharType="separate"/>
      </w:r>
      <w:r>
        <w:rPr>
          <w:rFonts w:ascii="宋体" w:cs="宋体" w:hint="eastAsia"/>
          <w:color w:val="auto"/>
          <w:kern w:val="0"/>
          <w:szCs w:val="21"/>
          <w:u w:val="single"/>
          <w:highlight w:val="auto"/>
        </w:rPr>
        <w:t>施工</w:t>
      </w:r>
      <w:r>
        <w:rPr>
          <w:rFonts w:ascii="宋体" w:cs="宋体" w:hint="eastAsia"/>
          <w:color w:val="auto"/>
          <w:kern w:val="0"/>
          <w:szCs w:val="21"/>
          <w:u w:val="single"/>
          <w:highlight w:val="auto"/>
        </w:rPr>
        <w:fldChar w:fldCharType="end"/>
      </w:r>
      <w:r>
        <w:rPr>
          <w:rFonts w:ascii="宋体" w:cs="宋体" w:hint="eastAsia"/>
          <w:color w:val="auto"/>
          <w:kern w:val="0"/>
          <w:szCs w:val="21"/>
          <w:u w:val="single"/>
          <w:highlight w:val="auto"/>
        </w:rPr>
        <w:t>等合约目标范围向</w:t>
      </w:r>
      <w:r>
        <w:rPr>
          <w:rFonts w:ascii="宋体" w:cs="宋体" w:hint="eastAsia"/>
          <w:color w:val="auto"/>
          <w:u w:val="single"/>
          <w:highlight w:val="auto"/>
        </w:rPr>
        <w:t>发包人</w:t>
      </w:r>
      <w:r>
        <w:rPr>
          <w:rFonts w:ascii="宋体" w:cs="宋体" w:hint="eastAsia"/>
          <w:color w:val="auto"/>
          <w:kern w:val="0"/>
          <w:szCs w:val="21"/>
          <w:u w:val="single"/>
          <w:highlight w:val="auto"/>
        </w:rPr>
        <w:t>直接负责</w:t>
      </w:r>
      <w:r>
        <w:rPr>
          <w:rFonts w:ascii="宋体" w:cs="宋体" w:hint="eastAsia"/>
          <w:color w:val="auto"/>
          <w:szCs w:val="21"/>
          <w:highlight w:val="auto"/>
        </w:rPr>
        <w:t>。</w:t>
      </w:r>
    </w:p>
    <w:p>
      <w:pPr>
        <w:pStyle w:val="382"/>
        <w:spacing w:line="360" w:lineRule="auto"/>
        <w:ind w:firstLineChars="200" w:firstLine="420"/>
        <w:rPr>
          <w:rFonts w:ascii="宋体" w:cs="宋体"/>
          <w:color w:val="auto"/>
          <w:szCs w:val="21"/>
          <w:highlight w:val="auto"/>
        </w:rPr>
      </w:pPr>
      <w:r>
        <w:rPr>
          <w:rFonts w:ascii="宋体" w:cs="宋体" w:hint="eastAsia"/>
          <w:color w:val="auto"/>
          <w:szCs w:val="21"/>
          <w:highlight w:val="auto"/>
        </w:rPr>
        <w:t>3.2.3 承包人不按合同附件规定的项目经理派驻进场的，发包人有权处违约金20万元。</w:t>
      </w:r>
    </w:p>
    <w:p>
      <w:pPr>
        <w:pStyle w:val="382"/>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关于项目经理每月在施工现场的时间要求：</w:t>
      </w:r>
      <w:r>
        <w:rPr>
          <w:rFonts w:ascii="宋体" w:cs="宋体" w:hint="eastAsia"/>
          <w:color w:val="auto"/>
          <w:szCs w:val="21"/>
          <w:u w:val="single"/>
          <w:highlight w:val="auto"/>
        </w:rPr>
        <w:t>项目经理应常驻现场，每月在现场工作时间应不少于22日，否则发包人有权处违约金5万元/次（人民币）</w:t>
      </w:r>
      <w:r>
        <w:rPr>
          <w:rFonts w:ascii="宋体" w:cs="宋体" w:hint="eastAsia"/>
          <w:color w:val="auto"/>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3.2.4 承包人未提交劳动合同，以及没有为项目经理缴纳社会保险证明的违约责任：</w:t>
      </w:r>
      <w:r>
        <w:rPr>
          <w:rFonts w:ascii="宋体" w:cs="宋体" w:hint="eastAsia"/>
          <w:color w:val="auto"/>
          <w:u w:val="single"/>
          <w:highlight w:val="auto"/>
        </w:rPr>
        <w:t xml:space="preserve"> 由承包人承担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3.2.5 项目经理未经批准，擅自离开施工现场的违约责任：</w:t>
      </w:r>
      <w:r>
        <w:rPr>
          <w:rFonts w:ascii="宋体" w:cs="宋体" w:hint="eastAsia"/>
          <w:color w:val="auto"/>
          <w:kern w:val="0"/>
          <w:szCs w:val="21"/>
          <w:u w:val="single"/>
          <w:highlight w:val="auto"/>
        </w:rPr>
        <w:t>项目经理</w:t>
      </w:r>
      <w:r>
        <w:rPr>
          <w:rFonts w:ascii="宋体" w:cs="宋体" w:hint="eastAsia"/>
          <w:color w:val="auto"/>
          <w:kern w:val="0"/>
          <w:u w:val="single"/>
          <w:highlight w:val="auto"/>
        </w:rPr>
        <w:t>每月在施工现场的时间要求</w:t>
      </w:r>
      <w:r>
        <w:rPr>
          <w:rFonts w:ascii="宋体" w:cs="宋体" w:hint="eastAsia"/>
          <w:color w:val="auto"/>
          <w:u w:val="single"/>
          <w:highlight w:val="auto"/>
        </w:rPr>
        <w:t>不少于22日历天</w:t>
      </w:r>
      <w:r>
        <w:rPr>
          <w:rFonts w:ascii="宋体" w:cs="宋体" w:hint="eastAsia"/>
          <w:color w:val="auto"/>
          <w:kern w:val="0"/>
          <w:szCs w:val="21"/>
          <w:u w:val="single"/>
          <w:highlight w:val="auto"/>
        </w:rPr>
        <w:t>，项目经理擅自离岗或少在岗带班一天，视为承包人违约，</w:t>
      </w:r>
      <w:r>
        <w:rPr>
          <w:rFonts w:ascii="宋体" w:cs="宋体" w:hint="eastAsia"/>
          <w:color w:val="auto"/>
          <w:u w:val="single"/>
          <w:highlight w:val="auto"/>
        </w:rPr>
        <w:t>发包人</w:t>
      </w:r>
      <w:r>
        <w:rPr>
          <w:rFonts w:ascii="宋体" w:cs="宋体" w:hint="eastAsia"/>
          <w:color w:val="auto"/>
          <w:kern w:val="0"/>
          <w:szCs w:val="21"/>
          <w:u w:val="single"/>
          <w:highlight w:val="auto"/>
        </w:rPr>
        <w:t xml:space="preserve">有权处违约金 1万元/日（人民币） </w:t>
      </w:r>
      <w:r>
        <w:rPr>
          <w:rFonts w:ascii="宋体" w:cs="宋体" w:hint="eastAsia"/>
          <w:color w:val="auto"/>
          <w:kern w:val="0"/>
          <w:szCs w:val="21"/>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3.2.6 承包人擅自更换项目经理的违约责任：承包人项目经理必须与承包人投标时所承诺的人员一致，并在项目开工7日前到任。在监理人向承包人颁发</w:t>
      </w:r>
      <w:r>
        <w:rPr>
          <w:rFonts w:ascii="宋体" w:cs="宋体" w:hint="eastAsia"/>
          <w:color w:val="auto"/>
          <w:u w:val="single"/>
          <w:highlight w:val="auto"/>
        </w:rPr>
        <w:t>工程竣工验收证书 （竣工证明材料名称）</w:t>
      </w:r>
      <w:r>
        <w:rPr>
          <w:rFonts w:ascii="宋体" w:cs="宋体" w:hint="eastAsia"/>
          <w:color w:val="auto"/>
          <w:highlight w:val="auto"/>
        </w:rPr>
        <w:t>前，项目经理不得同时兼任其他任何项目的项目经理（符合桂建管﹝2013﹞17号和桂建管﹝2014﹞25号文除外）。未经发包人书面同意，承包人擅自更换项目经理的视为违约，违约金处3万元/人•次（人民币）。</w:t>
      </w:r>
    </w:p>
    <w:p>
      <w:pPr>
        <w:pStyle w:val="359"/>
        <w:spacing w:line="360" w:lineRule="auto"/>
        <w:ind w:firstLineChars="200" w:firstLine="420"/>
        <w:rPr>
          <w:rFonts w:ascii="宋体" w:cs="宋体" w:hint="eastAsia"/>
          <w:color w:val="auto"/>
          <w:kern w:val="0"/>
          <w:szCs w:val="21"/>
          <w:u w:val="single"/>
          <w:highlight w:val="auto"/>
        </w:rPr>
      </w:pPr>
      <w:r>
        <w:rPr>
          <w:rFonts w:ascii="宋体" w:cs="宋体" w:hint="eastAsia"/>
          <w:color w:val="auto"/>
          <w:highlight w:val="auto"/>
        </w:rPr>
        <w:t>3.2.7 承包人无正当理由拒绝更换项目经理的违约责任：</w:t>
      </w:r>
      <w:r>
        <w:rPr>
          <w:rFonts w:ascii="宋体" w:cs="宋体" w:hint="eastAsia"/>
          <w:color w:val="auto"/>
          <w:kern w:val="0"/>
          <w:szCs w:val="21"/>
          <w:u w:val="single"/>
          <w:highlight w:val="auto"/>
        </w:rPr>
        <w:t>因承包人项目经理不称职，发包人要求调换而未及时调换的，视为承包人违约，必须向发包人交纳处罚金1.5万元/人•次(人民币)。</w:t>
      </w:r>
    </w:p>
    <w:p>
      <w:pPr>
        <w:pStyle w:val="359"/>
        <w:spacing w:line="360" w:lineRule="auto"/>
        <w:ind w:firstLineChars="200" w:firstLine="420"/>
        <w:rPr>
          <w:rFonts w:ascii="宋体" w:cs="宋体" w:hint="eastAsia"/>
          <w:color w:val="auto"/>
          <w:kern w:val="0"/>
          <w:szCs w:val="21"/>
          <w:u w:val="single"/>
          <w:highlight w:val="auto"/>
        </w:rPr>
      </w:pPr>
      <w:r>
        <w:rPr>
          <w:rFonts w:ascii="宋体" w:cs="宋体" w:hint="eastAsia"/>
          <w:color w:val="auto"/>
          <w:kern w:val="0"/>
          <w:szCs w:val="21"/>
          <w:u w:val="single"/>
          <w:highlight w:val="auto"/>
        </w:rPr>
        <w:t>3.2.8 承包人</w:t>
      </w:r>
      <w:r>
        <w:rPr>
          <w:rFonts w:ascii="宋体" w:hint="eastAsia"/>
          <w:color w:val="auto"/>
          <w:szCs w:val="21"/>
          <w:highlight w:val="auto"/>
        </w:rPr>
        <w:t>项目经理必须按时参加发包人或监理单位组织的工程会议，项目经理不能按时到会的，必须向发包人代表或总监理工程师请假并取得准假，同时授权委托他人代为参加工程会议，否则由承包人按其项目经理不到会一次向发包人支付10000元的违约金，累计不到会达三次的，每超出一次按30000元向发包人支付违约金。承包人项目经理不得兼任其他项目工地代表或项目经理，且其在施工现场工作期间要按要求正常上下班，因病或其他事务需离开工地的应向发包人代表或总监理工程师请假并取得准假，否则发包人发现承包人项目经理一次不按要求上下班或擅自离开工地的，由承包人向发包人支付10000元的违约金，累计超过三次的，每超出一次按30000元向发包人支付违约金。</w:t>
      </w:r>
    </w:p>
    <w:p>
      <w:pPr>
        <w:pStyle w:val="359"/>
        <w:spacing w:line="360" w:lineRule="auto"/>
        <w:rPr>
          <w:rFonts w:ascii="宋体" w:cs="宋体" w:hint="eastAsia"/>
          <w:b/>
          <w:bCs/>
          <w:color w:val="auto"/>
          <w:highlight w:val="auto"/>
        </w:rPr>
      </w:pPr>
      <w:r>
        <w:rPr>
          <w:rFonts w:ascii="宋体" w:cs="宋体" w:hint="eastAsia"/>
          <w:b/>
          <w:bCs/>
          <w:color w:val="auto"/>
          <w:highlight w:val="auto"/>
        </w:rPr>
        <w:t>3.3 承包人人员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3.3.1 承包人提交项目管理机构及施工现场管理人员安排报告的期限：</w:t>
      </w:r>
      <w:r>
        <w:rPr>
          <w:rFonts w:ascii="宋体" w:cs="宋体" w:hint="eastAsia"/>
          <w:color w:val="auto"/>
          <w:u w:val="single"/>
          <w:highlight w:val="auto"/>
        </w:rPr>
        <w:t xml:space="preserve"> 接到开工通知后7天内</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3.3.3 承包人无正当理由拒绝撤换主要施工管理人员的违约责任：</w:t>
      </w:r>
      <w:r>
        <w:rPr>
          <w:rFonts w:ascii="宋体" w:cs="宋体" w:hint="eastAsia"/>
          <w:color w:val="auto"/>
          <w:kern w:val="0"/>
          <w:szCs w:val="21"/>
          <w:u w:val="single"/>
          <w:highlight w:val="auto"/>
        </w:rPr>
        <w:t>因承包人主要施工管理人员不称职，发包人要求调换而无正当理由拒绝撤换或未及时调换的，视为承包人违约，必须向发包人交纳处罚金，处罚标准：技术负责人1万元/人•次(人民币)；专业工程师0.5万元/人•次(人民币)</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3.3.4 承包人主要施工管理人员离开施工现场的批准要求：</w:t>
      </w:r>
      <w:r>
        <w:rPr>
          <w:rFonts w:ascii="宋体" w:cs="宋体" w:hint="eastAsia"/>
          <w:color w:val="auto"/>
          <w:u w:val="single"/>
          <w:highlight w:val="auto"/>
        </w:rPr>
        <w:t>经发包人代表批准。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3.3.5承包人擅自更换主要施工管理人员的违约责任：</w:t>
      </w:r>
      <w:r>
        <w:rPr>
          <w:rFonts w:ascii="宋体" w:cs="宋体" w:hint="eastAsia"/>
          <w:color w:val="auto"/>
          <w:kern w:val="0"/>
          <w:szCs w:val="21"/>
          <w:u w:val="single"/>
          <w:highlight w:val="auto"/>
        </w:rPr>
        <w:t>技术负责人、专业工程师未经发包人书面同意不准擅自更换，擅自更换技术负责人处2万元/人•次(人民币)违约金；擅自更换专业工程师处1万元/人•次(人民币)违约金</w:t>
      </w:r>
      <w:r>
        <w:rPr>
          <w:rFonts w:ascii="宋体" w:cs="宋体" w:hint="eastAsia"/>
          <w:color w:val="auto"/>
          <w:kern w:val="0"/>
          <w:szCs w:val="21"/>
          <w:highlight w:val="auto"/>
        </w:rPr>
        <w:t>。</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承包人主要施工管理人员擅自离开施工现场的违约责任：</w:t>
      </w:r>
      <w:r>
        <w:rPr>
          <w:rFonts w:ascii="宋体" w:cs="宋体" w:hint="eastAsia"/>
          <w:color w:val="auto"/>
          <w:kern w:val="0"/>
          <w:szCs w:val="21"/>
          <w:u w:val="single"/>
          <w:highlight w:val="auto"/>
        </w:rPr>
        <w:t>未经发包人同意，技术负责人擅自离岗的，视为承包人违约，发包人有权处违约金1万元/人•次(人民币)；未经发包人同意，专业工程师擅自离岗的，视为承包人违约，发包人有权处违约金0.5万元/人•次(人民币)</w:t>
      </w:r>
      <w:r>
        <w:rPr>
          <w:rFonts w:ascii="宋体" w:cs="宋体" w:hint="eastAsia"/>
          <w:color w:val="auto"/>
          <w:kern w:val="0"/>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3.4 分包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3.4.1 分包的一般约定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禁止分包的工程包括：</w:t>
      </w:r>
      <w:r>
        <w:rPr>
          <w:rFonts w:ascii="宋体" w:cs="宋体" w:hint="eastAsia"/>
          <w:color w:val="auto"/>
          <w:u w:val="single"/>
          <w:highlight w:val="auto"/>
        </w:rPr>
        <w:t xml:space="preserve"> 本工程不允许分包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主体结构、关键性工作的范围：</w:t>
      </w:r>
      <w:r>
        <w:rPr>
          <w:rFonts w:ascii="宋体" w:cs="宋体" w:hint="eastAsia"/>
          <w:color w:val="auto"/>
          <w:u w:val="single"/>
          <w:highlight w:val="auto"/>
        </w:rPr>
        <w:t xml:space="preserve"> 全部工程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3.4.2分包的确定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允许分包的专业工程包括：</w:t>
      </w:r>
      <w:r>
        <w:rPr>
          <w:rFonts w:ascii="宋体" w:cs="宋体" w:hint="eastAsia"/>
          <w:color w:val="auto"/>
          <w:u w:val="single"/>
          <w:highlight w:val="auto"/>
        </w:rPr>
        <w:t>无</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其他关于分包的约定：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除前款约定的分包内容外，经过发包人和监理人同意，承包人可以将其他非主体、非关键性工作分包给第三人，但分包人应当经过发包人和监理人审批。发包人和监理人有权拒绝承包人的分包请求和承包人选择的分包人。</w:t>
      </w:r>
      <w:r>
        <w:rPr>
          <w:rStyle w:val="10"/>
          <w:rFonts w:ascii="宋体" w:eastAsia="宋体" w:cs="宋体" w:hint="eastAsia"/>
          <w:color w:val="auto"/>
          <w:highlight w:val="auto"/>
        </w:rPr>
        <w:t>本项目分包人主要施工管理人员名单详见合同附件4。</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（2）在相关分包合同签订并报送有关建设行政主管部门备案后7天内，承包人应当将一份副本提交给监理人，承包人应保障分包工作不得再次分包。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（3）未经发包人和监理人审批同意的分包工程和分包人，发包人有权拒绝验收分包工程和支付相应款项，由此引起的发包人费用增加和(或)延误的工期由承包人承担。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（4）承包人有以下情况之一者，发包人有权解除合同，并视情况扣除其履约保证金：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①个人承包工程，包括承包人及其他单位人员承包，发包人不承认其个人拥有任何资质等级及营业许可资格。没收全部履约保证金。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②几个人联合承包工程，就地组织暗分包队伍，不具备完成本工程的技术、机械能力，被发包人判定为没有能力履行的承包人。没收全部履约保证金。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③就地转包全部的工程，以谋取高额转让费、管理费的承包人。没收全部履约保证金。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④承包人有部分分包现象（其中包括冒充承包人下属单位的挂勾单位，凭口头协议参与施工的分包人及其他暗分包个体户），一经发现核实，发包人将采取驱逐该暗分包人措施。没收全部履约保证金。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3.4.3 分包合同价款</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关于分包合同价款支付的约定：</w:t>
      </w:r>
      <w:r>
        <w:rPr>
          <w:rFonts w:ascii="宋体" w:cs="宋体" w:hint="eastAsia"/>
          <w:color w:val="auto"/>
          <w:u w:val="single"/>
          <w:highlight w:val="auto"/>
        </w:rPr>
        <w:t xml:space="preserve"> 本项目不允许分包，原则上不涉及分包合同价款的支付。分包工程价款由承包人与分包人(包括专业分包人)结算。 </w:t>
      </w:r>
    </w:p>
    <w:p>
      <w:pPr>
        <w:pStyle w:val="359"/>
        <w:spacing w:line="360" w:lineRule="auto"/>
        <w:rPr>
          <w:rFonts w:ascii="宋体" w:cs="宋体" w:hint="eastAsia"/>
          <w:b/>
          <w:bCs/>
          <w:color w:val="auto"/>
          <w:highlight w:val="auto"/>
        </w:rPr>
      </w:pPr>
      <w:r>
        <w:rPr>
          <w:rFonts w:ascii="宋体" w:cs="宋体" w:hint="eastAsia"/>
          <w:b/>
          <w:bCs/>
          <w:color w:val="auto"/>
          <w:highlight w:val="auto"/>
        </w:rPr>
        <w:t>3.5 工程照管与成品、半成品保护</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承包人负责照管工程及工程相关的材料、工程设备的起始时间：</w:t>
      </w:r>
      <w:r>
        <w:rPr>
          <w:rFonts w:ascii="宋体" w:cs="宋体" w:hint="eastAsia"/>
          <w:color w:val="auto"/>
          <w:kern w:val="0"/>
          <w:szCs w:val="21"/>
          <w:u w:val="single"/>
          <w:highlight w:val="auto"/>
        </w:rPr>
        <w:t>工程接收证书颁发前，承包人应负责照管和维护工程。工程接收证书颁发时尚有部分未竣工工程的，承包人还应负责该未竣工工程的照管和维护工作，直至竣工后移交给发包人为止。</w:t>
      </w:r>
    </w:p>
    <w:p>
      <w:pPr>
        <w:pStyle w:val="359"/>
        <w:spacing w:line="360" w:lineRule="auto"/>
        <w:rPr>
          <w:rFonts w:ascii="宋体" w:cs="宋体" w:hint="eastAsia"/>
          <w:b/>
          <w:bCs/>
          <w:color w:val="auto"/>
          <w:highlight w:val="auto"/>
        </w:rPr>
      </w:pPr>
      <w:r>
        <w:rPr>
          <w:rFonts w:ascii="宋体" w:cs="宋体" w:hint="eastAsia"/>
          <w:b/>
          <w:bCs/>
          <w:color w:val="auto"/>
          <w:highlight w:val="auto"/>
        </w:rPr>
        <w:t>3.6 履约担保</w:t>
      </w:r>
    </w:p>
    <w:p>
      <w:pPr>
        <w:pStyle w:val="359"/>
        <w:spacing w:line="360" w:lineRule="auto"/>
        <w:ind w:firstLineChars="200" w:firstLine="420"/>
        <w:rPr>
          <w:rFonts w:ascii="宋体" w:eastAsia="宋体" w:cs="宋体" w:hint="eastAsia"/>
          <w:color w:val="auto"/>
          <w:kern w:val="0"/>
          <w:szCs w:val="21"/>
          <w:u w:val="single"/>
          <w:lang w:eastAsia="zh-CN"/>
          <w:highlight w:val="auto"/>
        </w:rPr>
      </w:pPr>
      <w:r>
        <w:rPr>
          <w:rFonts w:ascii="宋体" w:cs="宋体" w:hint="eastAsia"/>
          <w:color w:val="auto"/>
          <w:lang w:eastAsia="zh-CN"/>
          <w:highlight w:val="auto"/>
        </w:rPr>
        <w:t>无</w:t>
      </w:r>
    </w:p>
    <w:p>
      <w:pPr>
        <w:pStyle w:val="359"/>
        <w:spacing w:line="360" w:lineRule="auto"/>
        <w:rPr>
          <w:rFonts w:ascii="宋体" w:cs="宋体" w:hint="eastAsia"/>
          <w:b/>
          <w:bCs/>
          <w:color w:val="auto"/>
          <w:highlight w:val="auto"/>
        </w:rPr>
      </w:pPr>
      <w:r>
        <w:rPr>
          <w:rFonts w:ascii="宋体" w:cs="宋体" w:hint="eastAsia"/>
          <w:b/>
          <w:bCs/>
          <w:color w:val="auto"/>
          <w:highlight w:val="auto"/>
        </w:rPr>
        <w:t>4. 监理人</w:t>
      </w:r>
    </w:p>
    <w:p>
      <w:pPr>
        <w:pStyle w:val="359"/>
        <w:spacing w:line="360" w:lineRule="auto"/>
        <w:rPr>
          <w:rFonts w:ascii="宋体" w:cs="宋体" w:hint="eastAsia"/>
          <w:b/>
          <w:bCs/>
          <w:color w:val="auto"/>
          <w:highlight w:val="auto"/>
        </w:rPr>
      </w:pPr>
      <w:r>
        <w:rPr>
          <w:rFonts w:ascii="宋体" w:cs="宋体" w:hint="eastAsia"/>
          <w:b/>
          <w:bCs/>
          <w:color w:val="auto"/>
          <w:highlight w:val="auto"/>
        </w:rPr>
        <w:t>4.1监理人的一般规定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关于监理人的监理内容：</w:t>
      </w:r>
      <w:r>
        <w:rPr>
          <w:rFonts w:ascii="宋体" w:cs="宋体" w:hint="eastAsia"/>
          <w:color w:val="auto"/>
          <w:u w:val="single"/>
          <w:highlight w:val="auto"/>
        </w:rPr>
        <w:t xml:space="preserve"> 整个施工阶段监理，职权按监理委托合同约定的内容执行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关于监理人的监理权限：</w:t>
      </w:r>
      <w:r>
        <w:rPr>
          <w:rFonts w:ascii="宋体" w:cs="宋体" w:hint="eastAsia"/>
          <w:color w:val="auto"/>
          <w:u w:val="single"/>
          <w:highlight w:val="auto"/>
        </w:rPr>
        <w:t xml:space="preserve">  监理人履行须经发包人批准行使的权利时，应当向承包人出示其行使该权利已经取得发包人批准的文件或者其他合法有效的授权证明。按本工程的监理合同中的有关条款，但下列事项的最终确定权或最终审批权不由监理人及其总监理工程师、监理工程师行使，而得由发包人行使：</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（1）与工程索赔签证（包括但不仅限于费用、工期等方面的索赔签证）有关的事项；</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（2）确定某一工程或材料、设备的单价或总价；</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（3）最终审核、审定、批复或确认单项工程的造价或工程总造价；</w:t>
      </w:r>
    </w:p>
    <w:p>
      <w:pPr>
        <w:pStyle w:val="359"/>
        <w:spacing w:line="360" w:lineRule="auto"/>
        <w:ind w:firstLineChars="200" w:firstLine="420"/>
        <w:rPr>
          <w:rFonts w:ascii="宋体" w:cs="宋体" w:hint="eastAsia"/>
          <w:color w:val="auto"/>
          <w:highlight w:val="auto"/>
        </w:rPr>
      </w:pPr>
      <w:r>
        <w:rPr>
          <w:rFonts w:ascii="宋体" w:cs="宋体" w:hint="eastAsia"/>
          <w:color w:val="auto"/>
          <w:u w:val="single"/>
          <w:highlight w:val="auto"/>
        </w:rPr>
        <w:t xml:space="preserve">（4）对工程设计、质量、价款、工期及发包人的权利义务具有较大影响的其他事项。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关于监理人在施工现场的办公场所、生活场所的提供和费用承担的约定：</w:t>
      </w:r>
      <w:r>
        <w:rPr>
          <w:rFonts w:ascii="宋体" w:cs="宋体" w:hint="eastAsia"/>
          <w:color w:val="auto"/>
          <w:szCs w:val="21"/>
          <w:u w:val="single"/>
          <w:highlight w:val="auto"/>
        </w:rPr>
        <w:t xml:space="preserve"> </w:t>
      </w:r>
      <w:r>
        <w:rPr>
          <w:rFonts w:ascii="宋体" w:cs="宋体" w:hint="eastAsia"/>
          <w:color w:val="auto"/>
          <w:u w:val="single"/>
          <w:highlight w:val="auto"/>
        </w:rPr>
        <w:t>由承包人向监理人提供足够的办公、生活场所并承担全部费用</w:t>
      </w:r>
      <w:r>
        <w:rPr>
          <w:rFonts w:ascii="宋体" w:cs="宋体" w:hint="eastAsia"/>
          <w:color w:val="auto"/>
          <w:szCs w:val="21"/>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4.2 监理人员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总监理工程师：</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姓    名：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职    务：</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监理工程师执业资格证书号：</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联系电话：</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电子信箱：</w:t>
      </w:r>
      <w:r>
        <w:rPr>
          <w:rFonts w:ascii="宋体" w:cs="宋体" w:hint="eastAsia"/>
          <w:color w:val="auto"/>
          <w:u w:val="single"/>
          <w:highlight w:val="auto"/>
        </w:rPr>
        <w:t xml:space="preserve"> 详见监理合同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通信地址：</w:t>
      </w:r>
      <w:r>
        <w:rPr>
          <w:rFonts w:ascii="宋体" w:cs="宋体" w:hint="eastAsia"/>
          <w:color w:val="auto"/>
          <w:u w:val="single"/>
          <w:highlight w:val="auto"/>
        </w:rPr>
        <w:t xml:space="preserve"> 详见监理合同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关于监理人的其他约定：</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4.4 商定或确定</w:t>
      </w:r>
    </w:p>
    <w:p>
      <w:pPr>
        <w:pStyle w:val="359"/>
        <w:spacing w:line="360" w:lineRule="auto"/>
        <w:ind w:firstLineChars="200" w:firstLine="420"/>
        <w:rPr>
          <w:rFonts w:ascii="宋体" w:cs="宋体"/>
          <w:color w:val="auto"/>
          <w:kern w:val="0"/>
          <w:highlight w:val="auto"/>
        </w:rPr>
      </w:pPr>
      <w:r>
        <w:rPr>
          <w:rFonts w:ascii="宋体" w:cs="宋体" w:hint="eastAsia"/>
          <w:color w:val="auto"/>
          <w:highlight w:val="auto"/>
        </w:rPr>
        <w:t>在发包人和承包人不能通过协商达成一致意见时，发包人授权监理人对以下事项进行确定：</w:t>
      </w:r>
      <w:r>
        <w:rPr>
          <w:rFonts w:ascii="宋体" w:cs="宋体" w:hint="eastAsia"/>
          <w:color w:val="auto"/>
          <w:szCs w:val="21"/>
          <w:u w:val="single"/>
          <w:highlight w:val="auto"/>
        </w:rPr>
        <w:t>按本合同《通用条款》相关条款规定执行</w:t>
      </w:r>
      <w:r>
        <w:rPr>
          <w:rFonts w:ascii="宋体" w:cs="宋体" w:hint="eastAsia"/>
          <w:color w:val="auto"/>
          <w:u w:val="single"/>
          <w:highlight w:val="auto"/>
        </w:rPr>
        <w:t xml:space="preserve">。 </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5. 工程质量</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5.1 质量要求</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5.1.1 特殊质量标准和要求：</w:t>
      </w:r>
      <w:r>
        <w:rPr>
          <w:rFonts w:ascii="宋体" w:cs="宋体" w:hint="eastAsia"/>
          <w:color w:val="auto"/>
          <w:u w:val="single"/>
          <w:highlight w:val="auto"/>
        </w:rPr>
        <w:t xml:space="preserve"> 严格执行广西壮族自治区住房和城乡建设厅《关于严格实行房屋建筑和市政基础设施工程质量终身责任承诺、永久性质量责任标牌、终身责任信息档案等制度的通知》(桂建管[2014]96 号)，落实建设工程质量终身责任 </w:t>
      </w:r>
      <w:r>
        <w:rPr>
          <w:rFonts w:ascii="宋体" w:cs="宋体" w:hint="eastAsia"/>
          <w:color w:val="auto"/>
          <w:highlight w:val="auto"/>
        </w:rPr>
        <w:t>。</w:t>
      </w:r>
    </w:p>
    <w:p>
      <w:pPr>
        <w:pStyle w:val="101"/>
        <w:spacing w:line="360" w:lineRule="auto"/>
        <w:ind w:firstLineChars="200" w:firstLine="420"/>
        <w:jc w:val="left"/>
        <w:rPr>
          <w:rFonts w:ascii="宋体" w:eastAsia="宋体" w:cs="宋体" w:hint="eastAsia"/>
          <w:color w:val="auto"/>
          <w:lang w:eastAsia="zh-CN"/>
          <w:highlight w:val="auto"/>
        </w:rPr>
      </w:pPr>
      <w:r>
        <w:rPr>
          <w:rFonts w:ascii="宋体" w:cs="宋体" w:hint="eastAsia"/>
          <w:color w:val="auto"/>
          <w:highlight w:val="auto"/>
        </w:rPr>
        <w:t xml:space="preserve">关于工程奖项的约定： </w:t>
      </w:r>
      <w:r>
        <w:rPr>
          <w:rFonts w:ascii="宋体" w:cs="宋体" w:hint="eastAsia"/>
          <w:color w:val="auto"/>
          <w:lang w:val="en-US" w:eastAsia="zh-CN"/>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5.2 隐蔽工程检查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5.2.2承包人提前通知监理人隐蔽工程检查的期限的约定：</w:t>
      </w:r>
      <w:r>
        <w:rPr>
          <w:rFonts w:ascii="宋体" w:cs="宋体" w:hint="eastAsia"/>
          <w:color w:val="auto"/>
          <w:u w:val="single"/>
          <w:highlight w:val="auto"/>
        </w:rPr>
        <w:t>工程隐蔽或中间验收前12小时以书面形式通知</w:t>
      </w:r>
      <w:r>
        <w:rPr>
          <w:rFonts w:ascii="宋体" w:cs="宋体" w:hint="eastAsia"/>
          <w:color w:val="auto"/>
          <w:kern w:val="0"/>
          <w:szCs w:val="21"/>
          <w:highlight w:val="auto"/>
        </w:rPr>
        <w:t>发包人</w:t>
      </w:r>
      <w:r>
        <w:rPr>
          <w:rFonts w:ascii="宋体" w:cs="宋体" w:hint="eastAsia"/>
          <w:color w:val="auto"/>
          <w:u w:val="single"/>
          <w:highlight w:val="auto"/>
        </w:rPr>
        <w:t>和监理工程师验收的内容、时间、地点，承包人准备验收记录单（最好是印制的表格）由双方签证。验收合格，承包人可进行隐蔽和继续施工；验收不合格，双方商订时限内修改后按上述循序重新验收。隐秘工程如无验收记录视为未验收且验收不合格。</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监理人不能按时进行检查时，应提前</w:t>
      </w:r>
      <w:r>
        <w:rPr>
          <w:rFonts w:ascii="宋体" w:cs="宋体" w:hint="eastAsia"/>
          <w:color w:val="auto"/>
          <w:u w:val="single"/>
          <w:highlight w:val="auto"/>
        </w:rPr>
        <w:t xml:space="preserve"> 24 </w:t>
      </w:r>
      <w:r>
        <w:rPr>
          <w:rFonts w:ascii="宋体" w:cs="宋体" w:hint="eastAsia"/>
          <w:color w:val="auto"/>
          <w:highlight w:val="auto"/>
        </w:rPr>
        <w:t>小时提交书面延期要求。</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关于延期最长不得超过：</w:t>
      </w:r>
      <w:r>
        <w:rPr>
          <w:rFonts w:ascii="宋体" w:cs="宋体" w:hint="eastAsia"/>
          <w:color w:val="auto"/>
          <w:u w:val="single"/>
          <w:highlight w:val="auto"/>
        </w:rPr>
        <w:t xml:space="preserve"> 48 </w:t>
      </w:r>
      <w:r>
        <w:rPr>
          <w:rFonts w:ascii="宋体" w:cs="宋体" w:hint="eastAsia"/>
          <w:color w:val="auto"/>
          <w:highlight w:val="auto"/>
        </w:rPr>
        <w:t>小时。</w:t>
      </w:r>
    </w:p>
    <w:p>
      <w:pPr>
        <w:pStyle w:val="359"/>
        <w:spacing w:line="360" w:lineRule="auto"/>
        <w:rPr>
          <w:rFonts w:ascii="宋体" w:cs="宋体" w:hint="eastAsia"/>
          <w:b/>
          <w:bCs/>
          <w:color w:val="auto"/>
          <w:highlight w:val="auto"/>
        </w:rPr>
      </w:pPr>
      <w:r>
        <w:rPr>
          <w:rFonts w:ascii="宋体" w:cs="宋体" w:hint="eastAsia"/>
          <w:b/>
          <w:bCs/>
          <w:color w:val="auto"/>
          <w:highlight w:val="auto"/>
        </w:rPr>
        <w:t>6. 安全文明施工与环境保护</w:t>
      </w:r>
    </w:p>
    <w:p>
      <w:pPr>
        <w:pStyle w:val="359"/>
        <w:spacing w:line="360" w:lineRule="auto"/>
        <w:rPr>
          <w:rFonts w:ascii="宋体" w:cs="宋体" w:hint="eastAsia"/>
          <w:b/>
          <w:bCs/>
          <w:color w:val="auto"/>
          <w:highlight w:val="auto"/>
        </w:rPr>
      </w:pPr>
      <w:r>
        <w:rPr>
          <w:rFonts w:ascii="宋体" w:cs="宋体" w:hint="eastAsia"/>
          <w:b/>
          <w:bCs/>
          <w:color w:val="auto"/>
          <w:highlight w:val="auto"/>
        </w:rPr>
        <w:t>6.1安全文明施工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6.1.1 项目安全生产的达标目标及相应事项的约定：</w:t>
      </w:r>
      <w:r>
        <w:rPr>
          <w:rFonts w:ascii="宋体" w:cs="宋体" w:hint="eastAsia"/>
          <w:color w:val="auto"/>
          <w:u w:val="single"/>
          <w:highlight w:val="auto"/>
        </w:rPr>
        <w:t xml:space="preserve">按照国家及地方安全文明施工的有关规定执行 </w:t>
      </w:r>
      <w:r>
        <w:rPr>
          <w:rFonts w:ascii="宋体" w:cs="宋体" w:hint="eastAsia"/>
          <w:color w:val="auto"/>
          <w:highlight w:val="auto"/>
        </w:rPr>
        <w:t>。</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关于安全文明施工奖项的约定：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6.1.2 关于治安保卫的特别约定：</w:t>
      </w:r>
      <w:r>
        <w:rPr>
          <w:rFonts w:ascii="宋体" w:cs="宋体" w:hint="eastAsia"/>
          <w:color w:val="auto"/>
          <w:u w:val="single"/>
          <w:highlight w:val="auto"/>
        </w:rPr>
        <w:t>承包人应承担施工安全保卫工作及非夜间施工照明的责任，承包人应采取一切合理的预防措施，防止人员伤亡、财产损失事故，费用由承包人承担。承包人生活设施及施工场应自费配备消防设备，防止火灾发生。如造成施工人员因作业伤亡或第三方（人）损害导致发包人承担责任的，发包人有权向承包人请求赔偿。</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关于编制施工场地治安管理计划的约定：</w:t>
      </w:r>
      <w:r>
        <w:rPr>
          <w:rFonts w:ascii="宋体" w:cs="宋体" w:hint="eastAsia"/>
          <w:color w:val="auto"/>
          <w:u w:val="single"/>
          <w:highlight w:val="auto"/>
        </w:rPr>
        <w:t xml:space="preserve"> 必须严格按照《中华人民共和国治安管理法》及《广西壮族自治区社会治安综合治理条例》要求编制治安管理计划，由承包人编制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6.1.3 文明施工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合同当事人对文明施工的要求：</w:t>
      </w:r>
      <w:r>
        <w:rPr>
          <w:rFonts w:ascii="宋体" w:cs="宋体" w:hint="eastAsia"/>
          <w:color w:val="auto"/>
          <w:u w:val="single"/>
          <w:highlight w:val="auto"/>
        </w:rPr>
        <w:t xml:space="preserve"> 安全防护、文明施工设施须按有关标准及制度执行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6.1.4 </w:t>
      </w:r>
      <w:r>
        <w:rPr>
          <w:rFonts w:ascii="宋体" w:cs="宋体" w:hint="eastAsia"/>
          <w:color w:val="auto"/>
          <w:kern w:val="0"/>
          <w:highlight w:val="auto"/>
        </w:rPr>
        <w:t>关于安全生产费总额、支付比例、支付期限、转入和结余收回的约定：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（1）本合同价款已包含安全文明施工费：</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（2）使用要求：专款专用。具体按《广西壮族自治区建设工程安全文明施工费使用管理细则》 （ 桂建质〔 2015〕 16号）、《关于明确安全文明施工措施费和扬尘污染防治费用使用管理的通知》（南建管字〔2019〕3号）和</w:t>
      </w:r>
      <w:r>
        <w:rPr>
          <w:rFonts w:ascii="宋体" w:cs="宋体" w:hint="eastAsia"/>
          <w:color w:val="auto"/>
          <w:lang w:eastAsia="zh-CN"/>
          <w:highlight w:val="auto"/>
        </w:rPr>
        <w:t>崇左</w:t>
      </w:r>
      <w:r>
        <w:rPr>
          <w:rFonts w:ascii="宋体" w:cs="宋体" w:hint="eastAsia"/>
          <w:color w:val="auto"/>
          <w:highlight w:val="auto"/>
        </w:rPr>
        <w:t>市相关规定执行。在财务管理中应以工程项目为单位，单独列出安全防护、文明施工措施项目费用收入和支出清单备查。同时遵守工程建设安全生产有关管理规定，严格按照安全标准组织施工，并随时接受行业安全检查人员依法实施的监督检查，采取必要的安全防护措施，消除事故隐患。如发生工程安全事故，其责任和因此发生的费用由承包人承担，同时发包人将根据违反规定的情况对承包人进行20000～50000元/次的处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安全文明施工措施费及扬尘治理费支付约定：在工程施工现场的围挡、大门、冲洗平台、临时给排水系统、场内便道硬化、降尘、抑尘设施安装到位并调试正常、办公临时设施等完成，办理建设工程质量监督登记和安全措施备案后，承包人可申请第一次付款，根据安措费使用情况据实支付，并且支付额度不超过总费用的40%。项目实施过程中，根据安措费实际情况，承包人按月申请付款，并且支付累计额度不超过总费用的90%。竣工验收合格并完成管理权移交后，根据安措费使用情况据实支付余额，并且支付累计额度不能超过总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（4）支付约定：与进度款同期支付。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（5）工程施工完成后安全生产费用尚有结余的，结余部分由发包人收回。</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（6）承包人将安全生产费用使用情况定期报告发包人和监理人，并提供相应的材料接受建设行政主管部门对此事项监管。</w:t>
      </w:r>
    </w:p>
    <w:p>
      <w:pPr>
        <w:pStyle w:val="359"/>
        <w:spacing w:line="360" w:lineRule="auto"/>
        <w:rPr>
          <w:rFonts w:ascii="宋体" w:cs="宋体" w:hint="eastAsia"/>
          <w:b/>
          <w:bCs/>
          <w:color w:val="auto"/>
          <w:highlight w:val="auto"/>
        </w:rPr>
      </w:pPr>
      <w:r>
        <w:rPr>
          <w:rFonts w:ascii="宋体" w:cs="宋体" w:hint="eastAsia"/>
          <w:b/>
          <w:bCs/>
          <w:color w:val="auto"/>
          <w:highlight w:val="auto"/>
        </w:rPr>
        <w:t>6.3环境保护</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因施工需要，经发包人批准，由承包人办理有关施工场地交通、环卫和施工噪音管理等手续，费用由承包人负责。</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经过城市道路的施工车辆，必须按交警、城管、运输等部门相关规定执行。由于施工车辆造成的道路、环境等污染，其责任和费用均由承包人承担。</w:t>
      </w:r>
      <w:r>
        <w:rPr>
          <w:rFonts w:ascii="宋体" w:cs="宋体" w:hint="eastAsia"/>
          <w:color w:val="auto"/>
          <w:kern w:val="0"/>
          <w:u w:val="single"/>
          <w:highlight w:val="auto"/>
        </w:rPr>
        <w:t>由此造成发包人承担责任的，有权向承包人追偿。</w:t>
      </w:r>
    </w:p>
    <w:p>
      <w:pPr>
        <w:pStyle w:val="359"/>
        <w:spacing w:line="360" w:lineRule="auto"/>
        <w:rPr>
          <w:rFonts w:ascii="宋体" w:cs="宋体" w:hint="eastAsia"/>
          <w:b/>
          <w:bCs/>
          <w:color w:val="auto"/>
          <w:highlight w:val="auto"/>
        </w:rPr>
      </w:pPr>
      <w:r>
        <w:rPr>
          <w:rFonts w:ascii="宋体" w:cs="宋体" w:hint="eastAsia"/>
          <w:b/>
          <w:bCs/>
          <w:color w:val="auto"/>
          <w:highlight w:val="auto"/>
        </w:rPr>
        <w:t>7. 工期和进度</w:t>
      </w:r>
    </w:p>
    <w:p>
      <w:pPr>
        <w:pStyle w:val="359"/>
        <w:spacing w:line="360" w:lineRule="auto"/>
        <w:rPr>
          <w:rFonts w:ascii="宋体" w:cs="宋体" w:hint="eastAsia"/>
          <w:b/>
          <w:bCs/>
          <w:color w:val="auto"/>
          <w:highlight w:val="auto"/>
        </w:rPr>
      </w:pPr>
      <w:r>
        <w:rPr>
          <w:rFonts w:ascii="宋体" w:cs="宋体" w:hint="eastAsia"/>
          <w:b/>
          <w:bCs/>
          <w:color w:val="auto"/>
          <w:highlight w:val="auto"/>
        </w:rPr>
        <w:t>7.1 施工组织设计</w:t>
      </w:r>
    </w:p>
    <w:p>
      <w:pPr>
        <w:pStyle w:val="101"/>
        <w:autoSpaceDE w:val="0"/>
        <w:autoSpaceDN w:val="0"/>
        <w:adjustRightInd w:val="0"/>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7.1.1 合同当事人约定的施工组织设计应包括的其他内容：</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按国家或广西区内的相关规定执行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7.1.2 施工组织设计的提交和修改</w:t>
      </w:r>
    </w:p>
    <w:p>
      <w:pPr>
        <w:pStyle w:val="101"/>
        <w:autoSpaceDE w:val="0"/>
        <w:autoSpaceDN w:val="0"/>
        <w:adjustRightInd w:val="0"/>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承包人提交详细施工组织设计的期限的约定：</w:t>
      </w:r>
      <w:r>
        <w:rPr>
          <w:rFonts w:ascii="宋体" w:cs="宋体" w:hint="eastAsia"/>
          <w:color w:val="auto"/>
          <w:szCs w:val="21"/>
          <w:u w:val="single"/>
          <w:highlight w:val="auto"/>
        </w:rPr>
        <w:t>图纸会审和设计交底后，七天内提供施工组织设计（施工方案）和工程进度计划</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发包人和监理人在收到详细的施工组织设计后确认或提出修改意见的期限：</w:t>
      </w:r>
      <w:r>
        <w:rPr>
          <w:rFonts w:ascii="宋体" w:cs="宋体" w:hint="eastAsia"/>
          <w:color w:val="auto"/>
          <w:szCs w:val="21"/>
          <w:u w:val="single"/>
          <w:highlight w:val="auto"/>
        </w:rPr>
        <w:t>从收到承包人提供的施工组织设计（施工方案）及工程进度计划之日起十天内予以确认，如有重大异议必须在收到上述资料十天内以书面形式送达承包人</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7.2 施工进度计划</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7.2.1 施工进度计划的修订</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highlight w:val="auto"/>
        </w:rPr>
        <w:t>发包人和监理人在收到修订的施工进度计划后确认或提出修改意见的期限：</w:t>
      </w:r>
      <w:r>
        <w:rPr>
          <w:rFonts w:ascii="宋体" w:cs="宋体" w:hint="eastAsia"/>
          <w:color w:val="auto"/>
          <w:szCs w:val="21"/>
          <w:u w:val="single"/>
          <w:highlight w:val="auto"/>
        </w:rPr>
        <w:t>自监理人收到承包人报送的施工进度计划后 14 天内，具体为：第一次工地例会后十天内，承包人提交经监理签章的总进度计划及月进度计划（含网络计划），总计划中包括：（1）完工时间；（2）关键节点、时间；（3）机械设备进场计划；（4）资金需求计划；（5）项目工作人员劳动分工及进场计划，发包人有权根据现场实际进度情况对承包人及监理人通过下达生产任务方式进行月度考核，如承包人未能按月完成发包人下达的生产任务的，视为承包人违约，承包人必须向发包人交纳当月需完成施工产值的 1 %作为违约金。发包人和监理人在收到修订的施工进度计划后确认或提出修改意见的期限：收到修订的施工进度计划后 7  天内。</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（1）</w:t>
      </w:r>
      <w:r>
        <w:rPr>
          <w:rFonts w:ascii="宋体" w:cs="宋体" w:hint="eastAsia"/>
          <w:color w:val="auto"/>
          <w:szCs w:val="21"/>
          <w:u w:val="single"/>
          <w:highlight w:val="auto"/>
        </w:rPr>
        <w:t>可能出现的下雨、高温天气及节假日等因素（不可抗力的因素除外）。</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（2）</w:t>
      </w:r>
      <w:r>
        <w:rPr>
          <w:rFonts w:ascii="宋体" w:cs="宋体" w:hint="eastAsia"/>
          <w:color w:val="auto"/>
          <w:szCs w:val="21"/>
          <w:u w:val="single"/>
          <w:highlight w:val="auto"/>
        </w:rPr>
        <w:t xml:space="preserve"> 发包人分包工程的合理工期与供货期。</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（3）</w:t>
      </w:r>
      <w:r>
        <w:rPr>
          <w:rFonts w:ascii="宋体" w:cs="宋体" w:hint="eastAsia"/>
          <w:color w:val="auto"/>
          <w:szCs w:val="21"/>
          <w:u w:val="single"/>
          <w:highlight w:val="auto"/>
        </w:rPr>
        <w:t>各类实验检测、中间验收、各专项工程验收的合理时限。</w:t>
      </w:r>
    </w:p>
    <w:p>
      <w:pPr>
        <w:pStyle w:val="359"/>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（4）</w:t>
      </w:r>
      <w:r>
        <w:rPr>
          <w:rFonts w:ascii="宋体" w:cs="宋体" w:hint="eastAsia"/>
          <w:color w:val="auto"/>
          <w:szCs w:val="21"/>
          <w:u w:val="single"/>
          <w:highlight w:val="auto"/>
        </w:rPr>
        <w:t>三月三、五一、端午、国庆、元旦、春节等法定节假日及</w:t>
      </w:r>
      <w:r>
        <w:rPr>
          <w:rFonts w:ascii="宋体" w:cs="宋体" w:hint="eastAsia"/>
          <w:color w:val="auto"/>
          <w:szCs w:val="21"/>
          <w:u w:val="single"/>
          <w:lang w:eastAsia="zh-CN"/>
          <w:highlight w:val="auto"/>
        </w:rPr>
        <w:t>崇左</w:t>
      </w:r>
      <w:r>
        <w:rPr>
          <w:rFonts w:ascii="宋体" w:cs="宋体" w:hint="eastAsia"/>
          <w:color w:val="auto"/>
          <w:szCs w:val="21"/>
          <w:u w:val="single"/>
          <w:highlight w:val="auto"/>
        </w:rPr>
        <w:t>市政府要求在中考、高考、东盟期间停工的工期。</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7.3 开工</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7.3.1 开工准备</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关于承包人提交工程开工报审表的期限：</w:t>
      </w:r>
      <w:r>
        <w:rPr>
          <w:rFonts w:ascii="宋体" w:cs="宋体" w:hint="eastAsia"/>
          <w:color w:val="auto"/>
          <w:u w:val="single"/>
          <w:highlight w:val="auto"/>
        </w:rPr>
        <w:t xml:space="preserve"> 开工前7天内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关于发包人应完成的其他开工准备工作及期限：</w:t>
      </w:r>
      <w:r>
        <w:rPr>
          <w:rFonts w:ascii="宋体" w:cs="宋体" w:hint="eastAsia"/>
          <w:color w:val="auto"/>
          <w:u w:val="single"/>
          <w:highlight w:val="auto"/>
        </w:rPr>
        <w:t xml:space="preserve"> </w:t>
      </w:r>
      <w:r>
        <w:rPr>
          <w:rFonts w:ascii="宋体" w:cs="宋体" w:hint="eastAsia"/>
          <w:color w:val="auto"/>
          <w:szCs w:val="21"/>
          <w:u w:val="single"/>
          <w:highlight w:val="auto"/>
        </w:rPr>
        <w:t>收到后7天内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关于承包人应完成的其他开工准备工作及期限：</w:t>
      </w:r>
      <w:r>
        <w:rPr>
          <w:rFonts w:ascii="宋体" w:cs="宋体" w:hint="eastAsia"/>
          <w:color w:val="auto"/>
          <w:u w:val="single"/>
          <w:highlight w:val="auto"/>
        </w:rPr>
        <w:t xml:space="preserve"> </w:t>
      </w:r>
      <w:r>
        <w:rPr>
          <w:rFonts w:ascii="宋体" w:cs="宋体" w:hint="eastAsia"/>
          <w:color w:val="auto"/>
          <w:szCs w:val="21"/>
          <w:u w:val="single"/>
          <w:highlight w:val="auto"/>
        </w:rPr>
        <w:t>收到后7天内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7.3.2开工通知</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因</w:t>
      </w:r>
      <w:r>
        <w:rPr>
          <w:rFonts w:ascii="宋体" w:cs="宋体" w:hint="eastAsia"/>
          <w:color w:val="auto"/>
          <w:kern w:val="0"/>
          <w:szCs w:val="21"/>
          <w:highlight w:val="auto"/>
        </w:rPr>
        <w:t>发包人</w:t>
      </w:r>
      <w:r>
        <w:rPr>
          <w:rFonts w:ascii="宋体" w:cs="宋体" w:hint="eastAsia"/>
          <w:color w:val="auto"/>
          <w:highlight w:val="auto"/>
        </w:rPr>
        <w:t>原因造成监理人未能在计划开工日期之日起</w:t>
      </w:r>
      <w:r>
        <w:rPr>
          <w:rFonts w:ascii="宋体" w:cs="宋体" w:hint="eastAsia"/>
          <w:color w:val="auto"/>
          <w:u w:val="single"/>
          <w:highlight w:val="auto"/>
        </w:rPr>
        <w:t xml:space="preserve"> 90 </w:t>
      </w:r>
      <w:r>
        <w:rPr>
          <w:rFonts w:ascii="宋体" w:cs="宋体" w:hint="eastAsia"/>
          <w:color w:val="auto"/>
          <w:highlight w:val="auto"/>
        </w:rPr>
        <w:t>天内发出开工通知的，承包人有权提出价格调整要求，或者解除合同。</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7.4 测量放线</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7.4.1发包人通过监理人向承包人提供测量基准点、基准线和水准点及其书面资料的期限：</w:t>
      </w:r>
      <w:r>
        <w:rPr>
          <w:rFonts w:ascii="宋体" w:cs="宋体" w:hint="eastAsia"/>
          <w:color w:val="auto"/>
          <w:u w:val="single"/>
          <w:highlight w:val="auto"/>
        </w:rPr>
        <w:t xml:space="preserve">开工前7天内现场交验，同时做交验记录(承包人应对基准点、基准线和水准点做好保护措施,如保护不当需重新测放,由此产生的一切费用有承包人承担) </w:t>
      </w:r>
      <w:r>
        <w:rPr>
          <w:rFonts w:ascii="宋体" w:cs="宋体" w:hint="eastAsia"/>
          <w:color w:val="auto"/>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7.5 工期延误</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7.5.1 因发包人原因导致工期延误</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因发包人原因导致工期延误的其他情形：</w:t>
      </w:r>
      <w:r>
        <w:rPr>
          <w:rFonts w:ascii="宋体" w:cs="宋体" w:hint="eastAsia"/>
          <w:color w:val="auto"/>
          <w:u w:val="single"/>
          <w:highlight w:val="auto"/>
        </w:rPr>
        <w:t>①重大图纸变更（涉及使用功能、建筑平面布置或道路选址、结构形式、建设规模、基础或路床等变更）影响关键线路工序施工；②非承包人原因，政府指令性停工。③在施工过程中遇到地下障碍物、溶洞、岩石、文物或地下管线的。④发包人未能按专用条款的约定提供图纸及开工条件；⑤因发包人逾期支付工程款的情形不属于工期可延误情形，承包人应当继续履行合同义务。</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u w:val="single"/>
          <w:highlight w:val="auto"/>
        </w:rPr>
        <w:t>承包人必须在应予顺延工期事由发生之日起 14 日内申请办理工期签证，否则视为承包人放弃签证。此外，承包人在向发包人提交结算书时必须同时附送经发包人代表确认的工期顺延有效签证资料，如果承包人在向发包人提交结算书时未能同时附送经发包人代表确认的工期顺延有效签证资料的，视为承包人最终放弃签证及相关权利。</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7.5.2 因承包人原因导致工期延误</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双方约定经监理工程师确认，工期相应顺延的情况：</w:t>
      </w:r>
      <w:r>
        <w:rPr>
          <w:rFonts w:ascii="宋体" w:cs="宋体" w:hint="eastAsia"/>
          <w:color w:val="auto"/>
          <w:u w:val="single"/>
          <w:highlight w:val="auto"/>
        </w:rPr>
        <w:t xml:space="preserve"> 不可抗力等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因承包人原因造成工期延误，逾期竣工违约金的计算方法为：</w:t>
      </w:r>
      <w:r>
        <w:rPr>
          <w:rFonts w:ascii="宋体" w:cs="宋体" w:hint="eastAsia"/>
          <w:color w:val="auto"/>
          <w:kern w:val="0"/>
          <w:szCs w:val="21"/>
          <w:u w:val="single"/>
          <w:highlight w:val="auto"/>
        </w:rPr>
        <w:t>非上述原因，承包人不能按合同约定的时间竣工，承包人应承担违约责任。应向发包人支付误期赔偿费（每天赔偿金额为签约合同价的万分之四），误期时间从规定竣工日期起直到全部工程或相应部分工程竣工验收各方签章日期之间的天数（扣除发包人批准顺延的工期）。发包人可从应向承包人支付的任何金额中扣除此项赔款费或其他方式收回此款，此赔偿款的支付并不能解除承包人应完成工程的责任或合同规定的其他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因承包人原因造成工期延误，逾期竣工违约金的上限：</w:t>
      </w:r>
      <w:r>
        <w:rPr>
          <w:rFonts w:ascii="宋体" w:cs="宋体" w:hint="eastAsia"/>
          <w:color w:val="auto"/>
          <w:u w:val="single"/>
          <w:highlight w:val="auto"/>
        </w:rPr>
        <w:t>逾期竣工的单项工程结算造价的5 %。</w:t>
      </w:r>
    </w:p>
    <w:p>
      <w:pPr>
        <w:pStyle w:val="359"/>
        <w:spacing w:line="360" w:lineRule="auto"/>
        <w:rPr>
          <w:rFonts w:ascii="宋体" w:cs="宋体" w:hint="eastAsia"/>
          <w:b/>
          <w:bCs/>
          <w:color w:val="auto"/>
          <w:highlight w:val="auto"/>
        </w:rPr>
      </w:pPr>
      <w:r>
        <w:rPr>
          <w:rFonts w:ascii="宋体" w:cs="宋体" w:hint="eastAsia"/>
          <w:b/>
          <w:bCs/>
          <w:color w:val="auto"/>
          <w:highlight w:val="auto"/>
        </w:rPr>
        <w:t>7.6 不利物质条件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不利物质条件的其他情形和有关约定：</w:t>
      </w:r>
      <w:r>
        <w:rPr>
          <w:rFonts w:ascii="宋体" w:cs="宋体" w:hint="eastAsia"/>
          <w:color w:val="auto"/>
          <w:u w:val="single"/>
          <w:highlight w:val="auto"/>
        </w:rPr>
        <w:t xml:space="preserve"> </w:t>
      </w:r>
      <w:r>
        <w:rPr>
          <w:rFonts w:ascii="宋体" w:cs="宋体" w:hint="eastAsia"/>
          <w:color w:val="auto"/>
          <w:u w:val="single"/>
          <w:lang w:eastAsia="zh-CN"/>
          <w:highlight w:val="auto"/>
        </w:rPr>
        <w:t>采购</w:t>
      </w:r>
      <w:r>
        <w:rPr>
          <w:rFonts w:ascii="宋体" w:cs="宋体" w:hint="eastAsia"/>
          <w:color w:val="auto"/>
          <w:szCs w:val="21"/>
          <w:u w:val="single"/>
          <w:highlight w:val="auto"/>
        </w:rPr>
        <w:t>文件中已明确或投标文件承包人承诺完成，但暂未计入报价的项目不作为顺延工期的理由。雨雪、冰雹、台风、高温天气、低温天气、停水、停电、节假日、扰民和民扰、市政影响等不利因素等在总工期内，不另外考虑。如遇国家和政府要求短期（临时）停工的，双方协商处理</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7.7异常恶劣的气候条件</w:t>
      </w:r>
    </w:p>
    <w:p>
      <w:pPr>
        <w:pStyle w:val="383"/>
        <w:spacing w:line="360" w:lineRule="auto"/>
        <w:ind w:firstLineChars="200" w:firstLine="420"/>
        <w:rPr>
          <w:rFonts w:ascii="宋体" w:cs="宋体" w:hint="eastAsia"/>
          <w:color w:val="auto"/>
          <w:highlight w:val="auto"/>
        </w:rPr>
      </w:pPr>
      <w:r>
        <w:rPr>
          <w:rFonts w:ascii="宋体" w:cs="宋体" w:hint="eastAsia"/>
          <w:color w:val="auto"/>
          <w:highlight w:val="auto"/>
        </w:rPr>
        <w:t>发包人和承包人同意以下情形视为异常恶劣的气候条件：</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（1）日降雨量大于200㎜的雨日超过 1 天；</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（2）6 级以上地震和 8 级以上大风（以地震局或气象部门公布为准）；</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（3）日气温超过 40 ℃的高温大于 3 天；</w:t>
      </w:r>
    </w:p>
    <w:p>
      <w:pPr>
        <w:pStyle w:val="383"/>
        <w:spacing w:line="360" w:lineRule="auto"/>
        <w:ind w:firstLineChars="200" w:firstLine="420"/>
        <w:rPr>
          <w:rFonts w:ascii="宋体" w:cs="宋体" w:hint="eastAsia"/>
          <w:color w:val="auto"/>
          <w:szCs w:val="21"/>
          <w:u w:val="single"/>
          <w:highlight w:val="auto"/>
        </w:rPr>
      </w:pPr>
      <w:r>
        <w:rPr>
          <w:rFonts w:ascii="宋体" w:cs="宋体" w:hint="eastAsia"/>
          <w:color w:val="auto"/>
          <w:szCs w:val="21"/>
          <w:u w:val="single"/>
          <w:highlight w:val="auto"/>
        </w:rPr>
        <w:t>（4）造成工程损坏的冰雹和大雪灾害；</w:t>
      </w:r>
    </w:p>
    <w:p>
      <w:pPr>
        <w:pStyle w:val="383"/>
        <w:spacing w:line="360" w:lineRule="auto"/>
        <w:ind w:firstLineChars="200" w:firstLine="420"/>
        <w:rPr>
          <w:rFonts w:ascii="宋体" w:cs="宋体"/>
          <w:color w:val="auto"/>
          <w:szCs w:val="21"/>
          <w:u w:val="single"/>
          <w:highlight w:val="auto"/>
        </w:rPr>
      </w:pPr>
      <w:r>
        <w:rPr>
          <w:rFonts w:ascii="宋体" w:cs="宋体" w:hint="eastAsia"/>
          <w:color w:val="auto"/>
          <w:szCs w:val="21"/>
          <w:u w:val="single"/>
          <w:highlight w:val="auto"/>
        </w:rPr>
        <w:t>（5）特大的洪水灾害；</w:t>
      </w:r>
    </w:p>
    <w:p>
      <w:pPr>
        <w:pStyle w:val="383"/>
        <w:spacing w:line="360" w:lineRule="auto"/>
        <w:ind w:firstLineChars="200" w:firstLine="420"/>
        <w:rPr>
          <w:rFonts w:ascii="宋体" w:cs="宋体" w:hint="eastAsia"/>
          <w:color w:val="auto"/>
          <w:highlight w:val="auto"/>
        </w:rPr>
      </w:pPr>
      <w:r>
        <w:rPr>
          <w:rFonts w:ascii="宋体" w:cs="宋体" w:hint="eastAsia"/>
          <w:color w:val="auto"/>
          <w:szCs w:val="21"/>
          <w:u w:val="single"/>
          <w:highlight w:val="auto"/>
        </w:rPr>
        <w:t>（6）其他异常恶劣气候灾害。</w:t>
      </w:r>
      <w:r>
        <w:rPr>
          <w:rFonts w:ascii="宋体" w:cs="宋体" w:hint="eastAsia"/>
          <w:color w:val="auto"/>
          <w:kern w:val="0"/>
          <w:szCs w:val="21"/>
          <w:u w:val="single"/>
          <w:highlight w:val="auto"/>
        </w:rPr>
        <w:t>以政府有关部门发布的文告或文件为准 。</w:t>
      </w:r>
    </w:p>
    <w:p>
      <w:pPr>
        <w:pStyle w:val="359"/>
        <w:spacing w:line="360" w:lineRule="auto"/>
        <w:rPr>
          <w:rFonts w:ascii="宋体" w:cs="宋体" w:hint="eastAsia"/>
          <w:b/>
          <w:bCs/>
          <w:color w:val="auto"/>
          <w:highlight w:val="auto"/>
        </w:rPr>
      </w:pPr>
      <w:r>
        <w:rPr>
          <w:rFonts w:ascii="宋体" w:cs="宋体" w:hint="eastAsia"/>
          <w:b/>
          <w:bCs/>
          <w:color w:val="auto"/>
          <w:highlight w:val="auto"/>
        </w:rPr>
        <w:t>7.8 提前竣工的奖励</w:t>
      </w:r>
    </w:p>
    <w:p>
      <w:pPr>
        <w:pStyle w:val="101"/>
        <w:autoSpaceDE w:val="0"/>
        <w:autoSpaceDN w:val="0"/>
        <w:adjustRightInd w:val="0"/>
        <w:spacing w:line="360" w:lineRule="auto"/>
        <w:ind w:firstLineChars="200" w:firstLine="420"/>
        <w:rPr>
          <w:rFonts w:ascii="宋体" w:cs="宋体" w:hint="eastAsia"/>
          <w:color w:val="auto"/>
          <w:highlight w:val="auto"/>
        </w:rPr>
      </w:pPr>
      <w:r>
        <w:rPr>
          <w:rFonts w:ascii="宋体" w:cs="宋体" w:hint="eastAsia"/>
          <w:color w:val="auto"/>
          <w:highlight w:val="auto"/>
        </w:rPr>
        <w:t>7.8.1提前</w:t>
      </w:r>
      <w:r>
        <w:rPr>
          <w:rFonts w:ascii="宋体" w:cs="宋体" w:hint="eastAsia"/>
          <w:color w:val="auto"/>
          <w:kern w:val="0"/>
          <w:highlight w:val="auto"/>
        </w:rPr>
        <w:t>竣工</w:t>
      </w:r>
      <w:r>
        <w:rPr>
          <w:rFonts w:ascii="宋体" w:cs="宋体" w:hint="eastAsia"/>
          <w:color w:val="auto"/>
          <w:highlight w:val="auto"/>
        </w:rPr>
        <w:t>（赶工）增加费的计算方法：</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8.材料与设备</w:t>
      </w:r>
    </w:p>
    <w:p>
      <w:pPr>
        <w:pStyle w:val="359"/>
        <w:spacing w:line="360" w:lineRule="auto"/>
        <w:rPr>
          <w:rFonts w:ascii="宋体" w:cs="宋体" w:hint="eastAsia"/>
          <w:b/>
          <w:bCs/>
          <w:color w:val="auto"/>
          <w:highlight w:val="auto"/>
        </w:rPr>
      </w:pPr>
      <w:r>
        <w:rPr>
          <w:rFonts w:ascii="宋体" w:cs="宋体" w:hint="eastAsia"/>
          <w:b/>
          <w:bCs/>
          <w:color w:val="auto"/>
          <w:highlight w:val="auto"/>
        </w:rPr>
        <w:t>8.1 承包人采购材料与工程设备</w:t>
      </w:r>
    </w:p>
    <w:p>
      <w:pPr>
        <w:pStyle w:val="101"/>
        <w:autoSpaceDE w:val="0"/>
        <w:autoSpaceDN w:val="0"/>
        <w:adjustRightInd w:val="0"/>
        <w:spacing w:line="360" w:lineRule="auto"/>
        <w:ind w:firstLineChars="200" w:firstLine="420"/>
        <w:rPr>
          <w:rFonts w:ascii="宋体" w:cs="宋体" w:hint="eastAsia"/>
          <w:color w:val="auto"/>
          <w:highlight w:val="auto"/>
        </w:rPr>
      </w:pPr>
      <w:r>
        <w:rPr>
          <w:rFonts w:ascii="宋体" w:cs="宋体" w:hint="eastAsia"/>
          <w:color w:val="auto"/>
          <w:kern w:val="0"/>
          <w:highlight w:val="auto"/>
        </w:rPr>
        <w:t>除已标价工程量清单《</w:t>
      </w:r>
      <w:r>
        <w:rPr>
          <w:rFonts w:ascii="宋体" w:cs="宋体" w:hint="eastAsia"/>
          <w:color w:val="auto"/>
          <w:kern w:val="0"/>
          <w:szCs w:val="21"/>
          <w:highlight w:val="auto"/>
        </w:rPr>
        <w:t>允许调整主要材料和工程设备一览表</w:t>
      </w:r>
      <w:r>
        <w:rPr>
          <w:rFonts w:ascii="宋体" w:cs="宋体" w:hint="eastAsia"/>
          <w:color w:val="auto"/>
          <w:kern w:val="0"/>
          <w:highlight w:val="auto"/>
        </w:rPr>
        <w:t>》中明确的材料、工程设备外，由承包人负责材料和工程设备的采购、运输和保管。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对发包人在招标时有“参照或相当于**品牌、级别”约定的材料或设备，承包人采购时必须按类似于或优于所约定品牌、等级进行采购，当发包人与承包人对</w:t>
      </w:r>
      <w:r>
        <w:rPr>
          <w:rFonts w:ascii="宋体" w:cs="宋体" w:hint="eastAsia"/>
          <w:color w:val="auto"/>
          <w:lang w:eastAsia="zh-CN"/>
          <w:highlight w:val="auto"/>
        </w:rPr>
        <w:t>采购</w:t>
      </w:r>
      <w:r>
        <w:rPr>
          <w:rFonts w:ascii="宋体" w:cs="宋体" w:hint="eastAsia"/>
          <w:color w:val="auto"/>
          <w:highlight w:val="auto"/>
        </w:rPr>
        <w:t>文件所约定的材料有争议时，发包人有权要求承包人按</w:t>
      </w:r>
      <w:r>
        <w:rPr>
          <w:rFonts w:ascii="宋体" w:cs="宋体" w:hint="eastAsia"/>
          <w:color w:val="auto"/>
          <w:lang w:eastAsia="zh-CN"/>
          <w:highlight w:val="auto"/>
        </w:rPr>
        <w:t>采购</w:t>
      </w:r>
      <w:r>
        <w:rPr>
          <w:rFonts w:ascii="宋体" w:cs="宋体" w:hint="eastAsia"/>
          <w:color w:val="auto"/>
          <w:highlight w:val="auto"/>
        </w:rPr>
        <w:t>文件有“参照或相当于”标明材料品牌的材料进行采购并在结算时按投标单价支付。施工期间该部分材料或设备如未超过</w:t>
      </w:r>
      <w:r>
        <w:rPr>
          <w:rFonts w:ascii="宋体" w:cs="宋体" w:hint="eastAsia"/>
          <w:color w:val="auto"/>
          <w:lang w:eastAsia="zh-CN"/>
          <w:highlight w:val="auto"/>
        </w:rPr>
        <w:t>采购</w:t>
      </w:r>
      <w:r>
        <w:rPr>
          <w:rFonts w:ascii="宋体" w:cs="宋体" w:hint="eastAsia"/>
          <w:color w:val="auto"/>
          <w:highlight w:val="auto"/>
        </w:rPr>
        <w:t>约定的风险幅度的，结算时按投标单价支付，不得调整。</w:t>
      </w:r>
    </w:p>
    <w:p>
      <w:pPr>
        <w:pStyle w:val="359"/>
        <w:spacing w:line="360" w:lineRule="auto"/>
        <w:rPr>
          <w:rFonts w:ascii="宋体" w:cs="宋体" w:hint="eastAsia"/>
          <w:b/>
          <w:bCs/>
          <w:color w:val="auto"/>
          <w:highlight w:val="auto"/>
        </w:rPr>
      </w:pPr>
      <w:r>
        <w:rPr>
          <w:rFonts w:ascii="宋体" w:cs="宋体" w:hint="eastAsia"/>
          <w:b/>
          <w:bCs/>
          <w:color w:val="auto"/>
          <w:highlight w:val="auto"/>
        </w:rPr>
        <w:t>8.2材料与工程设备的保管与使用</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8.2.1发包人供应的材料设备的保管费用的承担：</w:t>
      </w:r>
      <w:r>
        <w:rPr>
          <w:rFonts w:ascii="宋体" w:cs="宋体" w:hint="eastAsia"/>
          <w:color w:val="auto"/>
          <w:u w:val="single"/>
          <w:highlight w:val="auto"/>
        </w:rPr>
        <w:t xml:space="preserve"> 发包人供应的材料设备，承包人清点后由承包人负责保管，保管费用由承包人承担。</w:t>
      </w:r>
    </w:p>
    <w:p>
      <w:pPr>
        <w:pStyle w:val="359"/>
        <w:spacing w:line="360" w:lineRule="auto"/>
        <w:rPr>
          <w:rFonts w:ascii="宋体" w:cs="宋体" w:hint="eastAsia"/>
          <w:b/>
          <w:bCs/>
          <w:color w:val="auto"/>
          <w:highlight w:val="auto"/>
        </w:rPr>
      </w:pPr>
      <w:r>
        <w:rPr>
          <w:rFonts w:ascii="宋体" w:cs="宋体" w:hint="eastAsia"/>
          <w:b/>
          <w:bCs/>
          <w:color w:val="auto"/>
          <w:highlight w:val="auto"/>
        </w:rPr>
        <w:t>8.3 样品</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8.3.1 样品的报送与封存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需要承包人报送样品的材料或工程设备，样品的种类、名称、规格、数量要求：主要材料涉及品种、款式、颜色等方面内容的，承包人应提交准备合格的材料样品送发包人选定。</w:t>
      </w:r>
    </w:p>
    <w:p>
      <w:pPr>
        <w:pStyle w:val="359"/>
        <w:spacing w:line="360" w:lineRule="auto"/>
        <w:rPr>
          <w:rFonts w:ascii="宋体" w:cs="宋体" w:hint="eastAsia"/>
          <w:b/>
          <w:bCs/>
          <w:color w:val="auto"/>
          <w:highlight w:val="auto"/>
        </w:rPr>
      </w:pPr>
      <w:r>
        <w:rPr>
          <w:rFonts w:ascii="宋体" w:cs="宋体" w:hint="eastAsia"/>
          <w:b/>
          <w:bCs/>
          <w:color w:val="auto"/>
          <w:highlight w:val="auto"/>
        </w:rPr>
        <w:t>8.4 施工设备和临时设施</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8.4.1 承包人提供的施工设备和临时设施</w:t>
      </w:r>
    </w:p>
    <w:p>
      <w:pPr>
        <w:pStyle w:val="101"/>
        <w:autoSpaceDE w:val="0"/>
        <w:autoSpaceDN w:val="0"/>
        <w:adjustRightInd w:val="0"/>
        <w:spacing w:line="360" w:lineRule="auto"/>
        <w:ind w:firstLineChars="200" w:firstLine="420"/>
        <w:rPr>
          <w:rFonts w:ascii="宋体" w:cs="宋体" w:hint="eastAsia"/>
          <w:color w:val="auto"/>
          <w:highlight w:val="auto"/>
        </w:rPr>
      </w:pPr>
      <w:r>
        <w:rPr>
          <w:rFonts w:ascii="宋体" w:cs="宋体" w:hint="eastAsia"/>
          <w:color w:val="auto"/>
          <w:highlight w:val="auto"/>
        </w:rPr>
        <w:t>除专用合同条款另有约定的其他独立承包人和监理人指示的他人提供条件外，承包人运入施工场地的所有施工设备以及在施工场地建设的临时设施仅限于用于合同工程。承包人用于本工程的主要机械设备清单见合同附件2。</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关于修建临时设施费用承担的约定：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①承包人的临时用地（含项目部驻地等）租用费（含拆迁补偿）、临时用地的环保、恢复、临时用地的青苗补偿及地面附着物拆除等费用均由承包人负责，以上费用在投标报价中综合考虑。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②承包人负责合同实施期间其合同段内临时交通道路（含场内外连接公共交通道路）和交通设施的修建、维修、养护和交通管理工作，并承担一切费用。</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承包人修建的临时道路和交通设施，应免费提供给发包人、监理工程师和其他合同段的承包人使用，如共同使用的路基损坏严重，发包人或监理工程师将负责通知有关承包人共同出资修复，若使用频率相差悬殊，则按比例分摊。</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8.4.2 发包人提供的施工设备和临时设施</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发包人提供的施工设备和临时设施：</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发包人提供的施工设备和临时设施的运行、维护、拆除、清运费用的承担人：</w:t>
      </w:r>
      <w:r>
        <w:rPr>
          <w:rFonts w:ascii="宋体" w:cs="宋体" w:hint="eastAsia"/>
          <w:color w:val="auto"/>
          <w:u w:val="single"/>
          <w:highlight w:val="auto"/>
        </w:rPr>
        <w:t xml:space="preserve"> 承包人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9. 试验与检验</w:t>
      </w:r>
    </w:p>
    <w:p>
      <w:pPr>
        <w:pStyle w:val="359"/>
        <w:spacing w:line="360" w:lineRule="auto"/>
        <w:rPr>
          <w:rFonts w:ascii="宋体" w:cs="宋体" w:hint="eastAsia"/>
          <w:b/>
          <w:bCs/>
          <w:color w:val="auto"/>
          <w:highlight w:val="auto"/>
        </w:rPr>
      </w:pPr>
      <w:r>
        <w:rPr>
          <w:rFonts w:ascii="宋体" w:cs="宋体" w:hint="eastAsia"/>
          <w:b/>
          <w:bCs/>
          <w:color w:val="auto"/>
          <w:highlight w:val="auto"/>
        </w:rPr>
        <w:t>9.1试验设备与试验人员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9.1.2 试验设备</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施工现场需要配置的试验场所：</w:t>
      </w:r>
      <w:r>
        <w:rPr>
          <w:rFonts w:ascii="宋体" w:cs="宋体" w:hint="eastAsia"/>
          <w:color w:val="auto"/>
          <w:u w:val="single"/>
          <w:highlight w:val="auto"/>
        </w:rPr>
        <w:t xml:space="preserve"> </w:t>
      </w:r>
      <w:r>
        <w:rPr>
          <w:rFonts w:ascii="宋体" w:cs="宋体" w:hint="eastAsia"/>
          <w:color w:val="auto"/>
          <w:szCs w:val="21"/>
          <w:u w:val="single"/>
          <w:highlight w:val="auto"/>
        </w:rPr>
        <w:t>由承包人根据工程情况自行设置建设</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施工现场需要配备的试验设备：</w:t>
      </w:r>
      <w:r>
        <w:rPr>
          <w:rFonts w:ascii="宋体" w:cs="宋体" w:hint="eastAsia"/>
          <w:color w:val="auto"/>
          <w:u w:val="single"/>
          <w:highlight w:val="auto"/>
        </w:rPr>
        <w:t xml:space="preserve"> </w:t>
      </w:r>
      <w:r>
        <w:rPr>
          <w:rFonts w:ascii="宋体" w:cs="宋体" w:hint="eastAsia"/>
          <w:color w:val="auto"/>
          <w:szCs w:val="21"/>
          <w:u w:val="single"/>
          <w:highlight w:val="auto"/>
        </w:rPr>
        <w:t>由承包人自行承担，并包含在合同总价内</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施工现场需要具备的其他试验条件：</w:t>
      </w:r>
      <w:r>
        <w:rPr>
          <w:rFonts w:ascii="宋体" w:cs="宋体" w:hint="eastAsia"/>
          <w:color w:val="auto"/>
          <w:u w:val="single"/>
          <w:highlight w:val="auto"/>
        </w:rPr>
        <w:t xml:space="preserve"> </w:t>
      </w:r>
      <w:r>
        <w:rPr>
          <w:rFonts w:ascii="宋体" w:cs="宋体" w:hint="eastAsia"/>
          <w:color w:val="auto"/>
          <w:szCs w:val="21"/>
          <w:u w:val="single"/>
          <w:highlight w:val="auto"/>
        </w:rPr>
        <w:t>由承包人自行承担，并包含在合同总价内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 xml:space="preserve">9.2 现场工艺试验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现场工艺试验的有关约定：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rPr>
          <w:rFonts w:ascii="宋体" w:cs="宋体" w:hint="eastAsia"/>
          <w:b/>
          <w:bCs/>
          <w:color w:val="auto"/>
          <w:highlight w:val="auto"/>
        </w:rPr>
      </w:pPr>
      <w:bookmarkStart w:id="104" w:name="_Toc14831"/>
      <w:r>
        <w:rPr>
          <w:rFonts w:ascii="宋体" w:cs="宋体" w:hint="eastAsia"/>
          <w:b/>
          <w:bCs/>
          <w:color w:val="auto"/>
          <w:highlight w:val="auto"/>
        </w:rPr>
        <w:t>9.3 检验费用</w:t>
      </w:r>
      <w:bookmarkEnd w:id="104"/>
    </w:p>
    <w:p>
      <w:pPr>
        <w:pStyle w:val="101"/>
        <w:spacing w:line="360" w:lineRule="auto"/>
        <w:ind w:firstLineChars="196" w:firstLine="412"/>
        <w:rPr>
          <w:rFonts w:ascii="宋体" w:cs="宋体" w:hint="eastAsia"/>
          <w:color w:val="auto"/>
          <w:highlight w:val="auto"/>
        </w:rPr>
      </w:pPr>
      <w:r>
        <w:rPr>
          <w:rFonts w:ascii="宋体" w:cs="宋体" w:hint="eastAsia"/>
          <w:color w:val="auto"/>
          <w:highlight w:val="auto"/>
        </w:rPr>
        <w:t>根据《建设工程质量检测管理办法》（建设部令第57号）以及《广西壮族自治区建设工程质量检测管理规定》（桂建质〔2015〕22号）规定，工程质量检测业务由</w:t>
      </w:r>
      <w:r>
        <w:rPr>
          <w:rFonts w:ascii="宋体" w:cs="宋体" w:hint="eastAsia"/>
          <w:color w:val="auto"/>
          <w:kern w:val="0"/>
          <w:szCs w:val="21"/>
          <w:highlight w:val="auto"/>
        </w:rPr>
        <w:t>发包人</w:t>
      </w:r>
      <w:r>
        <w:rPr>
          <w:rFonts w:ascii="宋体" w:cs="宋体" w:hint="eastAsia"/>
          <w:color w:val="auto"/>
          <w:highlight w:val="auto"/>
        </w:rPr>
        <w:t>委托有相应资质的检测机构检测。费用从</w:t>
      </w:r>
      <w:r>
        <w:rPr>
          <w:rFonts w:ascii="宋体" w:cs="宋体" w:hint="eastAsia"/>
          <w:color w:val="auto"/>
          <w:szCs w:val="21"/>
          <w:highlight w:val="auto"/>
        </w:rPr>
        <w:t>发包人</w:t>
      </w:r>
      <w:r>
        <w:rPr>
          <w:rFonts w:ascii="宋体" w:cs="宋体" w:hint="eastAsia"/>
          <w:color w:val="auto"/>
          <w:highlight w:val="auto"/>
        </w:rPr>
        <w:t>的项目建设经费中支出并直接支付给检测机构，不计入合同价款内。</w:t>
      </w:r>
    </w:p>
    <w:p>
      <w:pPr>
        <w:pStyle w:val="359"/>
        <w:spacing w:line="360" w:lineRule="auto"/>
        <w:rPr>
          <w:rFonts w:ascii="宋体" w:cs="宋体" w:hint="eastAsia"/>
          <w:b/>
          <w:bCs/>
          <w:color w:val="auto"/>
          <w:highlight w:val="auto"/>
        </w:rPr>
      </w:pPr>
      <w:r>
        <w:rPr>
          <w:rFonts w:ascii="宋体" w:cs="宋体" w:hint="eastAsia"/>
          <w:b/>
          <w:bCs/>
          <w:color w:val="auto"/>
          <w:highlight w:val="auto"/>
        </w:rPr>
        <w:t>10.变更</w:t>
      </w:r>
    </w:p>
    <w:p>
      <w:pPr>
        <w:pStyle w:val="359"/>
        <w:spacing w:line="360" w:lineRule="auto"/>
        <w:rPr>
          <w:rFonts w:ascii="宋体" w:cs="宋体" w:hint="eastAsia"/>
          <w:b/>
          <w:bCs/>
          <w:color w:val="auto"/>
          <w:highlight w:val="auto"/>
        </w:rPr>
      </w:pPr>
      <w:r>
        <w:rPr>
          <w:rFonts w:ascii="宋体" w:cs="宋体" w:hint="eastAsia"/>
          <w:b/>
          <w:bCs/>
          <w:color w:val="auto"/>
          <w:highlight w:val="auto"/>
        </w:rPr>
        <w:t>10.1变更的范围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关于变更的范围的约定：根据合同约定的程序发生的变更。（包括工程设计变更和其他变更）。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（1）工程施工过程中为完善工程设计，纠正设计错误以及满足现场条件变化而进行的设计修改工作。包括由原设计单位出具的设计变更通知书和由承包人征得原设计单位、发包人同意的设计变更。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2）工程质量标准变更、建筑材料（装饰材料）、设备的替换、暂定材料或新型材料价格的签证、招标清单漏项或工程量计量错误、发包人原因造成施工方案调整，以及其他因素引起的工程量及工程价款的增减。工程变更严格执行国家有关工程建设强制性标准和技术规范，满足工程质量和使用功能的要求，符合环境保护的要求，确保变更过程合法合规、公开公正，经济合理，未经审查批准的工程变更项目严禁组织实施。</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（3）施工中承包人不得对原工程设计进行变更。因承包人擅自变更设计发生的费用和由此导致发包人的损失，由承包人承担，延误的工期不予延顺。</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（4）工程项目征地红线范围内施工或检测便道由承包人负责修建，费用由承包人在投标报价中考虑，不得以此进行工程变更。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（5）由于施工现场排水组织不畅造成的软土处理、积水排放不得进行工程变更。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（6）招标文件工程量清单中有土石方综合报价的，土石成分比例不得进行工程变更。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（7）承包人中标后，桩基的成孔方式，施工工艺、施工方案等不得进行工程变更。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（8）涉及到不平衡报价的工程变更，应对合同单价进行调整，确定合理单价后方能进行工程变更。</w:t>
      </w:r>
    </w:p>
    <w:p>
      <w:pPr>
        <w:pStyle w:val="101"/>
        <w:spacing w:line="360" w:lineRule="auto"/>
        <w:ind w:firstLine="426"/>
        <w:jc w:val="left"/>
        <w:rPr>
          <w:rFonts w:ascii="宋体" w:cs="宋体" w:hint="eastAsia"/>
          <w:color w:val="auto"/>
          <w:highlight w:val="auto"/>
        </w:rPr>
      </w:pPr>
      <w:r>
        <w:rPr>
          <w:rFonts w:ascii="宋体" w:cs="宋体" w:hint="eastAsia"/>
          <w:color w:val="auto"/>
          <w:highlight w:val="auto"/>
        </w:rPr>
        <w:t>（9）承包人在施工过程中发现设计文件和图纸有差错的，应当自发现日起3个工作日内发包人提出书面意见和建议；因施工方案不当、施工质量有问题、承包人原因造成的工期拖延，以及擅自变更工程设计等原因造成的费用及其他损失，由承包人自行承担，延误的工期不予顺延。</w:t>
      </w:r>
    </w:p>
    <w:p>
      <w:pPr>
        <w:pStyle w:val="101"/>
        <w:spacing w:line="360" w:lineRule="auto"/>
        <w:ind w:firstLine="426"/>
        <w:jc w:val="left"/>
        <w:rPr>
          <w:rFonts w:ascii="宋体" w:cs="宋体" w:hint="eastAsia"/>
          <w:b/>
          <w:bCs/>
          <w:color w:val="auto"/>
          <w:sz w:val="24"/>
          <w:highlight w:val="auto"/>
        </w:rPr>
      </w:pPr>
      <w:r>
        <w:rPr>
          <w:rFonts w:ascii="宋体" w:cs="宋体" w:hint="eastAsia"/>
          <w:color w:val="auto"/>
          <w:highlight w:val="auto"/>
        </w:rPr>
        <w:t>（10）在本工程实施过程中，如发生工程承包范围内的增减工程、工程（设计）变更或现场签证，承包人应无任何先决条件予以执行，承包人不得以新增或设计变更等价格未确定等原因，拒绝施工、暂停施工或提出不合理的工期顺延，因承包人延误或拒绝实施变更造成的工期延误不予顺延，同时，发包人有权另行委托第三方实施，发包人委托第三方实施的，按实际发生的费用从承包人最终的结算款中扣除，且承包人需要按发包人委托第三方实施之价款的50%向发包人支付违约金，具体支付比例由发包人视情况自行决定，承包人不得有异议，且承包人不能因此免除保修责任。工程承包范围外的承包人应积极配合。</w:t>
      </w:r>
    </w:p>
    <w:p>
      <w:pPr>
        <w:pStyle w:val="359"/>
        <w:spacing w:line="360" w:lineRule="auto"/>
        <w:rPr>
          <w:rFonts w:ascii="宋体" w:cs="宋体" w:hint="eastAsia"/>
          <w:b/>
          <w:bCs/>
          <w:color w:val="auto"/>
          <w:highlight w:val="auto"/>
        </w:rPr>
      </w:pPr>
      <w:r>
        <w:rPr>
          <w:rFonts w:ascii="宋体" w:cs="宋体" w:hint="eastAsia"/>
          <w:b/>
          <w:bCs/>
          <w:color w:val="auto"/>
          <w:highlight w:val="auto"/>
        </w:rPr>
        <w:t>10.2 变更估价</w:t>
      </w:r>
    </w:p>
    <w:p>
      <w:pPr>
        <w:pStyle w:val="359"/>
        <w:spacing w:line="360" w:lineRule="auto"/>
        <w:rPr>
          <w:rFonts w:ascii="宋体" w:cs="宋体" w:hint="eastAsia"/>
          <w:b/>
          <w:bCs/>
          <w:color w:val="auto"/>
          <w:highlight w:val="auto"/>
        </w:rPr>
      </w:pPr>
      <w:r>
        <w:rPr>
          <w:rFonts w:ascii="宋体" w:cs="宋体" w:hint="eastAsia"/>
          <w:b/>
          <w:bCs/>
          <w:color w:val="auto"/>
          <w:highlight w:val="auto"/>
        </w:rPr>
        <w:t>10.2.1 变更估价原则</w:t>
      </w:r>
    </w:p>
    <w:p>
      <w:pPr>
        <w:pStyle w:val="101"/>
        <w:spacing w:line="360" w:lineRule="auto"/>
        <w:ind w:firstLineChars="200" w:firstLine="420"/>
        <w:rPr>
          <w:rFonts w:ascii="宋体" w:cs="宋体" w:hint="eastAsia"/>
          <w:color w:val="auto"/>
          <w:u w:val="single"/>
          <w:highlight w:val="auto"/>
        </w:rPr>
      </w:pPr>
      <w:r>
        <w:rPr>
          <w:rFonts w:ascii="宋体" w:cs="宋体" w:hint="eastAsia"/>
          <w:color w:val="auto"/>
          <w:highlight w:val="auto"/>
        </w:rPr>
        <w:t xml:space="preserve">关于变更估价的约定: </w:t>
      </w:r>
      <w:r>
        <w:rPr>
          <w:rFonts w:ascii="宋体" w:cs="宋体" w:hint="eastAsia"/>
          <w:color w:val="auto"/>
          <w:u w:val="single"/>
          <w:highlight w:val="auto"/>
        </w:rPr>
        <w:t>工程变更合同价款按下列方法进行：</w:t>
      </w:r>
    </w:p>
    <w:p>
      <w:pPr>
        <w:pStyle w:val="101"/>
        <w:spacing w:line="360" w:lineRule="auto"/>
        <w:ind w:firstLineChars="200" w:firstLine="420"/>
        <w:rPr>
          <w:rFonts w:ascii="宋体" w:cs="宋体" w:hint="eastAsia"/>
          <w:color w:val="auto"/>
          <w:u w:val="single"/>
          <w:highlight w:val="auto"/>
        </w:rPr>
      </w:pPr>
      <w:r>
        <w:rPr>
          <w:rFonts w:ascii="宋体" w:cs="宋体" w:hint="eastAsia"/>
          <w:color w:val="auto"/>
          <w:highlight w:val="auto"/>
        </w:rPr>
        <w:t>（1）</w:t>
      </w:r>
      <w:r>
        <w:rPr>
          <w:rFonts w:ascii="宋体" w:cs="宋体" w:hint="eastAsia"/>
          <w:color w:val="auto"/>
          <w:u w:val="single"/>
          <w:highlight w:val="auto"/>
        </w:rPr>
        <w:t>合同在已有适用的综合单价，按合同中已有的综合单价确定；</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（2）</w:t>
      </w:r>
      <w:r>
        <w:rPr>
          <w:rFonts w:ascii="宋体" w:cs="宋体" w:hint="eastAsia"/>
          <w:color w:val="auto"/>
          <w:u w:val="single"/>
          <w:highlight w:val="auto"/>
        </w:rPr>
        <w:t>合同中有类似的综合单价，参照类似的综合单价确定；</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（3）</w:t>
      </w:r>
      <w:r>
        <w:rPr>
          <w:rFonts w:ascii="宋体" w:cs="宋体" w:hint="eastAsia"/>
          <w:color w:val="auto"/>
          <w:u w:val="single"/>
          <w:highlight w:val="auto"/>
        </w:rPr>
        <w:t>合同中没有适用或类似清单项目的价格计算方法：有定额的套定额，并</w:t>
      </w:r>
      <w:r>
        <w:rPr>
          <w:rFonts w:ascii="宋体" w:cs="宋体" w:hint="eastAsia"/>
          <w:b/>
          <w:bCs/>
          <w:color w:val="auto"/>
          <w:u w:val="single"/>
          <w:highlight w:val="auto"/>
        </w:rPr>
        <w:t>(☑乘以下浮系数（中标价/招标控制价）%</w:t>
      </w:r>
      <w:r>
        <w:rPr>
          <w:rFonts w:ascii="宋体" w:cs="宋体" w:hint="eastAsia"/>
          <w:color w:val="auto"/>
          <w:u w:val="single"/>
          <w:highlight w:val="auto"/>
        </w:rPr>
        <w:t>， □不乘下浮系数）计算，其中：材料设备价格按施工期间的《</w:t>
      </w:r>
      <w:r>
        <w:rPr>
          <w:rFonts w:ascii="宋体" w:cs="宋体" w:hint="eastAsia"/>
          <w:color w:val="auto"/>
          <w:u w:val="single"/>
          <w:lang w:val="en-US" w:eastAsia="zh-CN"/>
          <w:highlight w:val="auto"/>
        </w:rPr>
        <w:t>崇左</w:t>
      </w:r>
      <w:r>
        <w:rPr>
          <w:rFonts w:ascii="宋体" w:cs="宋体" w:hint="eastAsia"/>
          <w:color w:val="auto"/>
          <w:u w:val="single"/>
          <w:highlight w:val="auto"/>
        </w:rPr>
        <w:t>市建设工程造价信息》相应信息价的加权平均值计算，《</w:t>
      </w:r>
      <w:r>
        <w:rPr>
          <w:rFonts w:ascii="宋体" w:cs="宋体" w:hint="eastAsia"/>
          <w:color w:val="auto"/>
          <w:u w:val="single"/>
          <w:lang w:eastAsia="zh-CN"/>
          <w:highlight w:val="auto"/>
        </w:rPr>
        <w:t>崇左</w:t>
      </w:r>
      <w:r>
        <w:rPr>
          <w:rFonts w:ascii="宋体" w:cs="宋体" w:hint="eastAsia"/>
          <w:color w:val="auto"/>
          <w:u w:val="single"/>
          <w:highlight w:val="auto"/>
        </w:rPr>
        <w:t>市建设工程造价信息》没有相应信息价的，由发包人、承包人、监理单位或第三方造价咨询单位根据市场行情协商确定；无定额可套的，由发包人、承包人、监理单位或造价咨询单位根据市场行情协商确定包含除税金以外所有费用的税前综合价格。以上约定同时适用于招标工程量清单缺项以及工程量清单项目特征与图纸不符时的价款确定。对于政府及国有资金投资的项目，新增项目的单价必须经发包人及相关部门审定。</w:t>
      </w:r>
      <w:r>
        <w:rPr>
          <w:rFonts w:ascii="宋体" w:cs="宋体" w:hint="eastAsia"/>
          <w:color w:val="auto"/>
          <w:highlight w:val="auto"/>
        </w:rPr>
        <w:t>以上约定同时适用于招标工程量清单缺项以及工程量清单项目特征与图纸不符时的价款确定。</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u w:val="single"/>
          <w:highlight w:val="auto"/>
        </w:rPr>
        <w:t>工程变更导致实际完成的变更工程量与已标价清单或预算书中列明的该项目工程量有偏差时，其综合单价的确定按专用条款“1.13工程量清单错误的修正”执行。</w:t>
      </w:r>
    </w:p>
    <w:p>
      <w:pPr>
        <w:pStyle w:val="359"/>
        <w:spacing w:line="360" w:lineRule="auto"/>
        <w:rPr>
          <w:rFonts w:ascii="宋体" w:cs="宋体" w:hint="eastAsia"/>
          <w:b/>
          <w:bCs/>
          <w:color w:val="auto"/>
          <w:highlight w:val="auto"/>
        </w:rPr>
      </w:pPr>
      <w:r>
        <w:rPr>
          <w:rFonts w:ascii="宋体" w:cs="宋体" w:hint="eastAsia"/>
          <w:b/>
          <w:bCs/>
          <w:color w:val="auto"/>
          <w:highlight w:val="auto"/>
        </w:rPr>
        <w:t>10.3 变更程序</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 xml:space="preserve">（1）设计变更和工程签证。属不可抗力（自然灾害、突发事件等）造成变更的，按特事特办原则予以办理。 </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 xml:space="preserve">（2）建设单位在实施项目过程中，若发生单价变动，由建设单位、监理单位、施工单位及其他相关单位共同商定并签字确认，并按规定办理相关手续。 </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（3） 当合同规定的合同价款调整情况发生后，承包人未在规定时间内通知发包人，或者未在规定时间内提出调整报告，发包人可以根据有关资料，决定是否调整和调整的金额，并书面通知承包人。</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1）工程设计变更、工程量清单漏项的，承包人须在一个月内报发包人审定，经发包人批准后方可变更设计，工程变更图纸完成后，有重大变更的，须通过图纸审查。</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2）工程现场签证包括：承包人应发包人要求完成合同以外的与工程相关联的零星工作；非承包人责任事件发生时，承包人按合同约定向发包人提出的工程现场变更;施工中出现施工图纸与工程量清单项目特征描述不符的,发、承包双方按新的项日特征确定相应工程量清单的工程现场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①对于单次工程现场变更金额不足1万元(不含l万元)且整个项目变更金额累计不足1万元的，由项目建设单位会同监理单位、施工单位现场查勘，并鉴证认可后即可实施。</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②对于单次工程现场变更金额1万元(含l万元）以上但不足5万元（不含5万元〕且占工程施工合同金额10%(不含）以下的，由项日建设单位,行业主管部门、设计单位、监理单位、施工单位到现场查勘，并按相关规定做好签证认可后实施。</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③对于单次工程变更金额在5万元(含5万元)以上或整个项日变更金额累计超过5万元的，以及单次或多次工程变更金额累计占工程施工合同10%以上(含10%)的，由项目建设单位组织财政、发改、建设行业主管部门、设计单位、监理单位,施工单位等共同到现场查勘，经现场查勘各单位一致同意并形成洽商记录连同变更项目的预算、相关材料报送城区改府批准后实施，洽商单需参与人员签字并加盖单位公章。</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④对于单次工程变更金额在5万元（含5万元）以上或整个项目工程造价变更累计超过5万元的,以及单次或多次工程变更累计占工程施工合同金额10%以上(含10%)的，必须经城区政府批准。</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3）属于不可抗力〔自然灾害、突发事件等）或施工紧急造成变更的，特事特办原则予以办理、有关资料和手续应在10个工作日内向相关部门申报，办理相关手续、补送资料（变更文件、签证文件、工程联系单、预算书等）。必要时，应经主管部门、发包人、设计、监理、承包人现场核实签字确认。</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 xml:space="preserve">4）承包人按发包人规定的要求建立工程变更管理台账，定期进行汇总、并于每月5日前将上月办理工程变更的情况向发包人报备。 </w:t>
      </w:r>
    </w:p>
    <w:p>
      <w:pPr>
        <w:pStyle w:val="360"/>
        <w:widowControl/>
        <w:spacing w:line="360" w:lineRule="auto"/>
        <w:ind w:firstLineChars="200" w:firstLine="420"/>
        <w:rPr>
          <w:rFonts w:ascii="宋体" w:cs="宋体" w:hint="eastAsia"/>
          <w:color w:val="auto"/>
          <w:kern w:val="0"/>
          <w:szCs w:val="21"/>
          <w:highlight w:val="auto"/>
        </w:rPr>
      </w:pPr>
      <w:r>
        <w:rPr>
          <w:rFonts w:ascii="宋体" w:cs="宋体" w:hint="eastAsia"/>
          <w:color w:val="auto"/>
          <w:kern w:val="0"/>
          <w:szCs w:val="21"/>
          <w:highlight w:val="auto"/>
        </w:rPr>
        <w:t>（4）工程建筑材料价格应严格执行工程所在地工程造价管理机构《</w:t>
      </w:r>
      <w:r>
        <w:rPr>
          <w:rFonts w:ascii="宋体" w:cs="宋体" w:hint="eastAsia"/>
          <w:color w:val="auto"/>
          <w:kern w:val="0"/>
          <w:szCs w:val="21"/>
          <w:lang w:eastAsia="zh-CN"/>
          <w:highlight w:val="auto"/>
        </w:rPr>
        <w:t>崇左</w:t>
      </w:r>
      <w:r>
        <w:rPr>
          <w:rFonts w:ascii="宋体" w:cs="宋体" w:hint="eastAsia"/>
          <w:color w:val="auto"/>
          <w:kern w:val="0"/>
          <w:szCs w:val="21"/>
          <w:highlight w:val="auto"/>
        </w:rPr>
        <w:t xml:space="preserve">市建设工程造价信息》上发布的建筑材料市场价格。 </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5）在施工期间所发生的全部工程业务联系单、签证单，必须由发包人现场代表、监理人员、承包人项目经理共同办理书面签证手续，并加盖发包人项目专用章（或公章）、承包人项目专用章（或公章）、监理人项目专用章（或公章），缺一不可，如缺漏任何一方签字和盖章的均视为无效。经相关部门批准后，方可作为工程结算依据。</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（6）承包人在工程设计变更和工程签证过程中必须认真负责、实事求是，不得弄虚作假，凡因上述问题所造成的损失，由承包人承担。</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7）承包人严格按照江南区政府相关文件要求办理项目变更审批流程，审批完后才能施工，以审批金额和结算金额支付工程款。如因承包人未能提前办理变更审批程序，导致变更项目不能结算支付，一切费用和责任由承包人自行承担。</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（8）对于现场签证资料手续办理问题，由建设单位、监理单位、设计单位（如需）、施工单位三方或四方对相关工程量进行签章确认，涉及地基处理及地质处理变更工程量的现场确认需增加勘察单位。</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（9）建设单位要严格按要求完善影像、图片、图纸、工程量签证、施工和监理日志等相关资料，确保资料真实、完整，并负相应责任。</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（10）工程变更的其他规定：</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①已办理施工图备案并且正在施工的项目不得擅自提高设计标准和安全储备进行工程变更；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②因施工组织设计不合理引起的工程变化不得进行工程变更；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③工程项目征地红线范围内施工或检测便道由承包人负责修建，费用由承包人在合同价款中考虑，不得以此进行工程变更；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④由于施工现场排水组织不畅造成的软土处理、积水排放不得进行工程变更；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⑤</w:t>
      </w:r>
      <w:r>
        <w:rPr>
          <w:rFonts w:ascii="宋体" w:cs="宋体" w:hint="eastAsia"/>
          <w:color w:val="auto"/>
          <w:kern w:val="0"/>
          <w:szCs w:val="21"/>
          <w:lang w:eastAsia="zh-CN"/>
          <w:highlight w:val="auto"/>
        </w:rPr>
        <w:t>采购</w:t>
      </w:r>
      <w:r>
        <w:rPr>
          <w:rFonts w:ascii="宋体" w:cs="宋体" w:hint="eastAsia"/>
          <w:color w:val="auto"/>
          <w:kern w:val="0"/>
          <w:szCs w:val="21"/>
          <w:highlight w:val="auto"/>
        </w:rPr>
        <w:t>文件工程量清单中有土石方综合报价的，土石成分比例不得进行工程变更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⑥中标后，桩基的成孔方式、施工工艺、施工方案等不得进行工程变更；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⑦涉及到不平衡报价的工程变更，应对合同单价进行调整，确定合理单价后方能进行工程变更；</w:t>
      </w:r>
    </w:p>
    <w:p>
      <w:pPr>
        <w:pStyle w:val="360"/>
        <w:widowControl/>
        <w:spacing w:line="360" w:lineRule="auto"/>
        <w:ind w:firstLineChars="200" w:firstLine="420"/>
        <w:jc w:val="left"/>
        <w:rPr>
          <w:rFonts w:ascii="宋体" w:cs="宋体" w:hint="eastAsia"/>
          <w:color w:val="auto"/>
          <w:kern w:val="0"/>
          <w:szCs w:val="21"/>
          <w:highlight w:val="auto"/>
        </w:rPr>
      </w:pPr>
      <w:r>
        <w:rPr>
          <w:rFonts w:ascii="宋体" w:cs="宋体" w:hint="eastAsia"/>
          <w:color w:val="auto"/>
          <w:kern w:val="0"/>
          <w:szCs w:val="21"/>
          <w:highlight w:val="auto"/>
        </w:rPr>
        <w:t>⑧因征地拆迁原因引起的工程变更，需县(区)、开发区（管委会）提供不能按要求完成征地拆迁任务的书面证明材料，并经市政府或其授权的机构同意才能进行工程变更。</w:t>
      </w:r>
    </w:p>
    <w:p>
      <w:pPr>
        <w:pStyle w:val="359"/>
        <w:spacing w:line="360" w:lineRule="auto"/>
        <w:rPr>
          <w:rFonts w:ascii="宋体" w:cs="宋体" w:hint="eastAsia"/>
          <w:b/>
          <w:bCs/>
          <w:color w:val="auto"/>
          <w:highlight w:val="auto"/>
        </w:rPr>
      </w:pPr>
      <w:r>
        <w:rPr>
          <w:rFonts w:ascii="宋体" w:cs="宋体" w:hint="eastAsia"/>
          <w:b/>
          <w:bCs/>
          <w:color w:val="auto"/>
          <w:highlight w:val="auto"/>
        </w:rPr>
        <w:t>10.4 暂估价</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暂估价材料和工程设备的明细详见已标价工程量清单《材料（工程设备）暂估价格及调整表》和《专业工程暂估价表》（无）。</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10.7.1 依法必须招标的暂估价项目</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对于依法必须招标的暂估价项目的确认和批准采取第</w:t>
      </w:r>
      <w:r>
        <w:rPr>
          <w:rFonts w:ascii="宋体" w:cs="宋体" w:hint="eastAsia"/>
          <w:color w:val="auto"/>
          <w:szCs w:val="21"/>
          <w:u w:val="single"/>
          <w:highlight w:val="auto"/>
        </w:rPr>
        <w:t xml:space="preserve"> 1 </w:t>
      </w:r>
      <w:r>
        <w:rPr>
          <w:rFonts w:ascii="宋体" w:cs="宋体" w:hint="eastAsia"/>
          <w:color w:val="auto"/>
          <w:szCs w:val="21"/>
          <w:highlight w:val="auto"/>
        </w:rPr>
        <w:t>种方式确定。</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第1种方式：对于依法必须招标的暂估价项目，由承包人招标，对该暂估价项目的确认和批准。</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按照以下约定执行：</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2）承包人应当根据施工进度计划，提前14天将招标文件通过监理人报送发包人审批，发包人应当在收到承包人报送的相关文件后7内完成审批或提出修改意见；发包人有权确定招标控制价并按照法律规定参加评标；</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szCs w:val="21"/>
          <w:highlight w:val="auto"/>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pPr>
        <w:pStyle w:val="360"/>
        <w:snapToGrid w:val="0"/>
        <w:spacing w:line="360" w:lineRule="auto"/>
        <w:ind w:firstLineChars="200" w:firstLine="420"/>
        <w:jc w:val="left"/>
        <w:rPr>
          <w:rFonts w:ascii="宋体" w:cs="宋体" w:hint="eastAsia"/>
          <w:color w:val="auto"/>
          <w:highlight w:val="auto"/>
        </w:rPr>
      </w:pPr>
      <w:r>
        <w:rPr>
          <w:rFonts w:ascii="宋体" w:cs="宋体" w:hint="eastAsia"/>
          <w:color w:val="auto"/>
          <w:highlight w:val="auto"/>
        </w:rPr>
        <w:t>第 3 种方式：承包人直接实施的暂估价项目</w:t>
      </w:r>
    </w:p>
    <w:p>
      <w:pPr>
        <w:pStyle w:val="360"/>
        <w:adjustRightInd w:val="0"/>
        <w:snapToGrid w:val="0"/>
        <w:spacing w:line="360" w:lineRule="auto"/>
        <w:ind w:firstLineChars="200" w:firstLine="420"/>
        <w:jc w:val="left"/>
        <w:rPr>
          <w:rFonts w:ascii="宋体" w:cs="宋体" w:hint="eastAsia"/>
          <w:color w:val="auto"/>
          <w:szCs w:val="21"/>
          <w:u w:val="single"/>
          <w:highlight w:val="auto"/>
        </w:rPr>
      </w:pPr>
      <w:r>
        <w:rPr>
          <w:rFonts w:ascii="宋体" w:cs="宋体" w:hint="eastAsia"/>
          <w:color w:val="auto"/>
          <w:szCs w:val="21"/>
          <w:highlight w:val="auto"/>
        </w:rPr>
        <w:t>承包人直接实施的暂估价项目的约定：</w:t>
      </w:r>
      <w:r>
        <w:rPr>
          <w:rFonts w:ascii="宋体" w:cs="宋体" w:hint="eastAsia"/>
          <w:color w:val="auto"/>
          <w:szCs w:val="21"/>
          <w:u w:val="single"/>
          <w:highlight w:val="auto"/>
        </w:rPr>
        <w:t>承包人具备实施暂估价项目的资格和条件的，经发包人和承包人协商一致后，可由承包人自行实施暂估价项目，报批流程按专用条款 10.3 执行，费用审核按专用条款 10.4 执行。</w:t>
      </w:r>
    </w:p>
    <w:p>
      <w:pPr>
        <w:pStyle w:val="359"/>
        <w:spacing w:line="360" w:lineRule="auto"/>
        <w:rPr>
          <w:rFonts w:ascii="宋体" w:cs="宋体" w:hint="eastAsia"/>
          <w:b/>
          <w:bCs/>
          <w:color w:val="auto"/>
          <w:highlight w:val="auto"/>
        </w:rPr>
      </w:pPr>
      <w:r>
        <w:rPr>
          <w:rFonts w:ascii="宋体" w:cs="宋体" w:hint="eastAsia"/>
          <w:b/>
          <w:bCs/>
          <w:color w:val="auto"/>
          <w:highlight w:val="auto"/>
        </w:rPr>
        <w:t>10.5 暂列金额</w:t>
      </w:r>
    </w:p>
    <w:p>
      <w:pPr>
        <w:pStyle w:val="360"/>
        <w:adjustRightInd w:val="0"/>
        <w:snapToGrid w:val="0"/>
        <w:spacing w:line="360" w:lineRule="auto"/>
        <w:ind w:firstLineChars="200" w:firstLine="420"/>
        <w:jc w:val="left"/>
        <w:rPr>
          <w:rFonts w:ascii="宋体" w:cs="宋体" w:hint="eastAsia"/>
          <w:color w:val="auto"/>
          <w:szCs w:val="21"/>
          <w:highlight w:val="auto"/>
        </w:rPr>
      </w:pPr>
      <w:r>
        <w:rPr>
          <w:rFonts w:ascii="宋体" w:cs="宋体" w:hint="eastAsia"/>
          <w:color w:val="auto"/>
          <w:kern w:val="0"/>
          <w:highlight w:val="auto"/>
        </w:rPr>
        <w:t>合同当事人关于暂列金额使用的约定：（1）已签订合同价中的暂列金额按照发包人的要求使用，承包人无权使用此暂列金额；（2）此费用按实际发生经按10.3条签证后确定，按实际结算。暂列金额不列入工程付款的基数。发包人按照规定所作支付后，暂列金额如有余额归发包人</w:t>
      </w:r>
      <w:r>
        <w:rPr>
          <w:rFonts w:ascii="宋体" w:cs="宋体" w:hint="eastAsia"/>
          <w:color w:val="auto"/>
          <w:szCs w:val="21"/>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11. 价格调整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11.1 市场价格波动引起的调整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市场价格波动是否调整合同价格的约定：</w:t>
      </w:r>
      <w:r>
        <w:rPr>
          <w:rFonts w:ascii="宋体" w:cs="宋体" w:hint="eastAsia"/>
          <w:color w:val="auto"/>
          <w:u w:val="single"/>
          <w:highlight w:val="auto"/>
        </w:rPr>
        <w:t xml:space="preserve"> 是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因市场价格波动调整合同价格，采用以下第</w:t>
      </w:r>
      <w:r>
        <w:rPr>
          <w:rFonts w:ascii="宋体" w:cs="宋体" w:hint="eastAsia"/>
          <w:color w:val="auto"/>
          <w:u w:val="single"/>
          <w:highlight w:val="auto"/>
        </w:rPr>
        <w:t xml:space="preserve"> 2 </w:t>
      </w:r>
      <w:r>
        <w:rPr>
          <w:rFonts w:ascii="宋体" w:cs="宋体" w:hint="eastAsia"/>
          <w:color w:val="auto"/>
          <w:highlight w:val="auto"/>
        </w:rPr>
        <w:t>种方式对合同价格进行调整：</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第1种方式：</w:t>
      </w:r>
      <w:r>
        <w:rPr>
          <w:rFonts w:ascii="宋体" w:cs="宋体" w:hint="eastAsia"/>
          <w:color w:val="auto"/>
          <w:u w:val="single"/>
          <w:highlight w:val="auto"/>
        </w:rPr>
        <w:t>采用价格指数进行价格调整。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关于各可调因子、定值和变值权重，以及基本价格指数及其来源的约定：</w:t>
      </w:r>
      <w:r>
        <w:rPr>
          <w:rFonts w:ascii="宋体" w:cs="宋体" w:hint="eastAsia"/>
          <w:color w:val="auto"/>
          <w:u w:val="single"/>
          <w:highlight w:val="auto"/>
        </w:rPr>
        <w:t xml:space="preserve">  / </w:t>
      </w:r>
      <w:r>
        <w:rPr>
          <w:rFonts w:ascii="宋体" w:cs="宋体" w:hint="eastAsia"/>
          <w:color w:val="auto"/>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第2种方式：采用造价信息进行价格调整。</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（1）允许调整主要材料和工程设备、基期价格、风险系数、投标报价详见《允许调整主要材料和工程设备一览表》,价差调整部分仅计算税金，除此表列明的材料、设备外，其余材料设备价差原则上不予调整。</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（2）主要材料和工程设备确认价：</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按施工期间《</w:t>
      </w:r>
      <w:r>
        <w:rPr>
          <w:rFonts w:ascii="宋体" w:cs="宋体" w:hint="eastAsia"/>
          <w:color w:val="auto"/>
          <w:u w:val="single"/>
          <w:highlight w:val="auto"/>
        </w:rPr>
        <w:t xml:space="preserve"> </w:t>
      </w:r>
      <w:r>
        <w:rPr>
          <w:rFonts w:ascii="宋体" w:cs="宋体" w:hint="eastAsia"/>
          <w:color w:val="auto"/>
          <w:u w:val="single"/>
          <w:lang w:eastAsia="zh-CN"/>
          <w:highlight w:val="auto"/>
        </w:rPr>
        <w:t>崇左</w:t>
      </w:r>
      <w:r>
        <w:rPr>
          <w:rFonts w:ascii="宋体" w:cs="宋体" w:hint="eastAsia"/>
          <w:color w:val="auto"/>
          <w:u w:val="single"/>
          <w:highlight w:val="auto"/>
        </w:rPr>
        <w:t xml:space="preserve"> </w:t>
      </w:r>
      <w:r>
        <w:rPr>
          <w:rFonts w:ascii="宋体" w:cs="宋体" w:hint="eastAsia"/>
          <w:color w:val="auto"/>
          <w:highlight w:val="auto"/>
        </w:rPr>
        <w:t>市建设工程造价信息》材料信息价的加权平均价计算，信息价没有的按通用条款规定确定。</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（3）价差计算方法：</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①《允许调整主要材料和工程设备一览表》中载明的材料和设备投标报价低于基准价格的：合同履行期间材料和设备单价涨幅以基准价格为基础超过约定的风险范围时，或材料和设备单价跌幅以投标报价为基础超过约定的风险范围时，对其超过部分进行价差调整，价差计算公式：价格上涨价差=确认价-基准价*（1+风险系数），价格下跌价差=确认价-投标报价*（1+风险系数）。</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②承包人在《允许调整主要材料和工程设备一览表》中载明的材料和设备投标报价高于基准价格的：合同履行期间材料和设备单价跌幅以基准价格为基础超过约定的风险范围时，或材料和设备单价涨幅以投标报价为基础超过约定的风险范围时，对其超过部分进行价差调整。价差计算公式：价格上涨价差=确认价-投标报价*（1+风险系数），价格下跌价差=确认价-基准价*（1+风险系数。）</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③承包人在《允许调整主要材料和工程设备一览表》中载明的材料和设备单价等于基准单价的：合同履行期间材料和设备单价涨跌幅以基准单价为基础超过约定的风险范围时，对其超过部分进行价差调整。价差计算公式：上涨或下跌价差=确认价-基准单价*（1+风险系数））</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第3种方式：其他价格调整方式：</w:t>
      </w:r>
      <w:r>
        <w:rPr>
          <w:rFonts w:ascii="宋体" w:cs="宋体" w:hint="eastAsia"/>
          <w:color w:val="auto"/>
          <w:u w:val="single"/>
          <w:highlight w:val="auto"/>
        </w:rPr>
        <w:t xml:space="preserve"> </w:t>
      </w:r>
      <w:r>
        <w:rPr>
          <w:rFonts w:ascii="宋体" w:cs="宋体" w:hint="eastAsia"/>
          <w:color w:val="auto"/>
          <w:kern w:val="0"/>
          <w:szCs w:val="21"/>
          <w:u w:val="single"/>
          <w:highlight w:val="auto"/>
        </w:rPr>
        <w:t>除合同约定可以调整的主要材料外，材料单价在合同实施期间不因市场价格变化因素而变动，因征地拆迁影响及重大设计变更等发包人的原因，在招标后延迟开工或中途停建重新复工的施工工期内，主要材料涨跌的调整幅度按南重点办【2014】29号文执行</w:t>
      </w:r>
      <w:r>
        <w:rPr>
          <w:rFonts w:ascii="宋体" w:cs="宋体" w:hint="eastAsia"/>
          <w:color w:val="auto"/>
          <w:u w:val="single"/>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12. 合同价格、计量与支付</w:t>
      </w:r>
    </w:p>
    <w:p>
      <w:pPr>
        <w:pStyle w:val="359"/>
        <w:spacing w:line="360" w:lineRule="auto"/>
        <w:rPr>
          <w:rFonts w:ascii="宋体" w:cs="宋体" w:hint="eastAsia"/>
          <w:color w:val="auto"/>
          <w:highlight w:val="auto"/>
        </w:rPr>
      </w:pPr>
      <w:r>
        <w:rPr>
          <w:rFonts w:ascii="宋体" w:cs="宋体" w:hint="eastAsia"/>
          <w:b/>
          <w:bCs/>
          <w:color w:val="auto"/>
          <w:highlight w:val="auto"/>
        </w:rPr>
        <w:t>12.1 合同价格形式</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本工程采用</w:t>
      </w:r>
      <w:r>
        <w:rPr>
          <w:rFonts w:ascii="宋体" w:cs="宋体" w:hint="eastAsia"/>
          <w:color w:val="auto"/>
          <w:u w:val="single"/>
          <w:highlight w:val="auto"/>
        </w:rPr>
        <w:t>固定综合单价</w:t>
      </w:r>
      <w:r>
        <w:rPr>
          <w:rFonts w:ascii="宋体" w:cs="宋体" w:hint="eastAsia"/>
          <w:color w:val="auto"/>
          <w:highlight w:val="auto"/>
        </w:rPr>
        <w:t>合同价格形式，合同价格包含增值税，本工程计价时采用的增值税计税方法为：☑一般计税法   □简易计税法。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（1）单价合同。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采用综合单价合同方式时，工程量按发包人、监理单位、承包人三方确认的竣工图结算。</w:t>
      </w:r>
    </w:p>
    <w:p>
      <w:pPr>
        <w:pStyle w:val="101"/>
        <w:spacing w:line="360" w:lineRule="auto"/>
        <w:ind w:firstLineChars="200" w:firstLine="420"/>
        <w:rPr>
          <w:rFonts w:ascii="宋体" w:cs="宋体" w:hint="eastAsia"/>
          <w:color w:val="auto"/>
          <w:u w:val="single"/>
          <w:highlight w:val="auto"/>
        </w:rPr>
      </w:pPr>
      <w:r>
        <w:rPr>
          <w:rFonts w:ascii="宋体" w:cs="宋体" w:hint="eastAsia"/>
          <w:color w:val="auto"/>
          <w:highlight w:val="auto"/>
        </w:rPr>
        <w:t>综合单价包含的风险范围：</w:t>
      </w:r>
      <w:r>
        <w:rPr>
          <w:rFonts w:ascii="宋体" w:cs="宋体" w:hint="eastAsia"/>
          <w:color w:val="auto"/>
          <w:szCs w:val="21"/>
          <w:u w:val="single"/>
          <w:highlight w:val="auto"/>
        </w:rPr>
        <w:t>除工程变更、项目特征不符、工程量清单缺项、工程量偏差、政策性调整、本工程《</w:t>
      </w:r>
      <w:r>
        <w:rPr>
          <w:rFonts w:ascii="宋体" w:cs="宋体" w:hint="eastAsia"/>
          <w:color w:val="auto"/>
          <w:u w:val="single"/>
          <w:highlight w:val="auto"/>
        </w:rPr>
        <w:t>允许调整主要材料和工程设备一览表</w:t>
      </w:r>
      <w:r>
        <w:rPr>
          <w:rFonts w:ascii="宋体" w:cs="宋体" w:hint="eastAsia"/>
          <w:color w:val="auto"/>
          <w:szCs w:val="21"/>
          <w:u w:val="single"/>
          <w:highlight w:val="auto"/>
        </w:rPr>
        <w:t>》中约定的材料和设备价格变动风险以外的其他风险因素</w:t>
      </w:r>
      <w:r>
        <w:rPr>
          <w:rFonts w:ascii="宋体" w:cs="宋体" w:hint="eastAsia"/>
          <w:color w:val="auto"/>
          <w:u w:val="single"/>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风险费用的计算方法：</w:t>
      </w:r>
      <w:r>
        <w:rPr>
          <w:rFonts w:ascii="宋体" w:cs="宋体" w:hint="eastAsia"/>
          <w:color w:val="auto"/>
          <w:u w:val="single"/>
          <w:highlight w:val="auto"/>
        </w:rPr>
        <w:t>因征地拆迁影响及重大设计变更等建设单位的原因，在招标后延迟开工或中途停建重新复工的施工工期内，主要材料涨跌的调整幅度按南重点办〔2014〕29号文执行。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风险范围以外合同价格的调整方法：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①工程变更、项目特征不符、工程量清单缺项：按10.4.1变更估价原则的约定调整。</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②工程量偏差：按1.13工程量清单错误修正的约定调整。</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③政策性调整：按国家、自治区住房城乡建设厅或工程所在地</w:t>
      </w:r>
      <w:r>
        <w:rPr>
          <w:rFonts w:ascii="宋体" w:cs="宋体" w:hint="eastAsia"/>
          <w:color w:val="auto"/>
          <w:szCs w:val="21"/>
          <w:highlight w:val="auto"/>
        </w:rPr>
        <w:t>市级</w:t>
      </w:r>
      <w:r>
        <w:rPr>
          <w:rFonts w:ascii="宋体" w:cs="宋体" w:hint="eastAsia"/>
          <w:color w:val="auto"/>
          <w:highlight w:val="auto"/>
        </w:rPr>
        <w:t>住房城乡建设主管部门颁布的文件执行。</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④市场波动引起的调整：按11.1的约定调整。</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⑤其它：</w:t>
      </w:r>
      <w:r>
        <w:rPr>
          <w:rFonts w:ascii="宋体" w:cs="宋体" w:hint="eastAsia"/>
          <w:color w:val="auto"/>
          <w:u w:val="single"/>
          <w:highlight w:val="auto"/>
        </w:rPr>
        <w:t>新增项目的单价必须经</w:t>
      </w:r>
      <w:r>
        <w:rPr>
          <w:rFonts w:ascii="宋体" w:cs="宋体" w:hint="eastAsia"/>
          <w:color w:val="auto"/>
          <w:u w:val="single"/>
          <w:lang w:eastAsia="zh-CN"/>
          <w:highlight w:val="auto"/>
        </w:rPr>
        <w:t>崇左</w:t>
      </w:r>
      <w:r>
        <w:rPr>
          <w:rFonts w:ascii="宋体" w:cs="宋体" w:hint="eastAsia"/>
          <w:color w:val="auto"/>
          <w:u w:val="single"/>
          <w:highlight w:val="auto"/>
        </w:rPr>
        <w:t>市相关城区部门根据</w:t>
      </w:r>
      <w:r>
        <w:rPr>
          <w:rFonts w:ascii="宋体" w:cs="宋体" w:hint="eastAsia"/>
          <w:color w:val="auto"/>
          <w:u w:val="single"/>
          <w:lang w:eastAsia="zh-CN"/>
          <w:highlight w:val="auto"/>
        </w:rPr>
        <w:t>崇左</w:t>
      </w:r>
      <w:r>
        <w:rPr>
          <w:rFonts w:ascii="宋体" w:cs="宋体" w:hint="eastAsia"/>
          <w:color w:val="auto"/>
          <w:u w:val="single"/>
          <w:highlight w:val="auto"/>
        </w:rPr>
        <w:t>市政府有关结算审定。</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（二）</w:t>
      </w:r>
      <w:r>
        <w:rPr>
          <w:rFonts w:ascii="宋体" w:cs="宋体" w:hint="eastAsia"/>
          <w:color w:val="auto"/>
          <w:u w:val="single"/>
          <w:highlight w:val="auto"/>
        </w:rPr>
        <w:t>国家和自治区、</w:t>
      </w:r>
      <w:r>
        <w:rPr>
          <w:rFonts w:ascii="宋体" w:cs="宋体" w:hint="eastAsia"/>
          <w:color w:val="auto"/>
          <w:u w:val="single"/>
          <w:lang w:eastAsia="zh-CN"/>
          <w:highlight w:val="auto"/>
        </w:rPr>
        <w:t>崇左</w:t>
      </w:r>
      <w:r>
        <w:rPr>
          <w:rFonts w:ascii="宋体" w:cs="宋体" w:hint="eastAsia"/>
          <w:color w:val="auto"/>
          <w:u w:val="single"/>
          <w:highlight w:val="auto"/>
        </w:rPr>
        <w:t>市政策性调整有关费用标准的，按文件规定执行。本工程最终结算价以国家及</w:t>
      </w:r>
      <w:r>
        <w:rPr>
          <w:rFonts w:ascii="宋体" w:cs="宋体" w:hint="eastAsia"/>
          <w:color w:val="auto"/>
          <w:u w:val="single"/>
          <w:lang w:eastAsia="zh-CN"/>
          <w:highlight w:val="auto"/>
        </w:rPr>
        <w:t>崇左</w:t>
      </w:r>
      <w:r>
        <w:rPr>
          <w:rFonts w:ascii="宋体" w:cs="宋体" w:hint="eastAsia"/>
          <w:color w:val="auto"/>
          <w:u w:val="single"/>
          <w:highlight w:val="auto"/>
        </w:rPr>
        <w:t>市政府投资工程结算管理有关规定执行，以</w:t>
      </w:r>
      <w:r>
        <w:rPr>
          <w:rFonts w:ascii="宋体" w:cs="宋体" w:hint="eastAsia"/>
          <w:color w:val="auto"/>
          <w:u w:val="single"/>
          <w:lang w:eastAsia="zh-CN"/>
          <w:highlight w:val="auto"/>
        </w:rPr>
        <w:t>崇左</w:t>
      </w:r>
      <w:r>
        <w:rPr>
          <w:rFonts w:ascii="宋体" w:cs="宋体" w:hint="eastAsia"/>
          <w:color w:val="auto"/>
          <w:u w:val="single"/>
          <w:highlight w:val="auto"/>
        </w:rPr>
        <w:t>市相关城区财政部门审定为准。对</w:t>
      </w:r>
      <w:r>
        <w:rPr>
          <w:rFonts w:ascii="宋体" w:cs="宋体" w:hint="eastAsia"/>
          <w:color w:val="auto"/>
          <w:highlight w:val="auto"/>
        </w:rPr>
        <w:t>发包人</w:t>
      </w:r>
      <w:r>
        <w:rPr>
          <w:rFonts w:ascii="宋体" w:cs="宋体" w:hint="eastAsia"/>
          <w:color w:val="auto"/>
          <w:u w:val="single"/>
          <w:highlight w:val="auto"/>
        </w:rPr>
        <w:t>向承包人超付的工程款项，承包人应按国家有关政策规定确定最终结算价之日起10日内返还</w:t>
      </w:r>
      <w:r>
        <w:rPr>
          <w:rFonts w:ascii="宋体" w:cs="宋体" w:hint="eastAsia"/>
          <w:color w:val="auto"/>
          <w:highlight w:val="auto"/>
        </w:rPr>
        <w:t>发包人</w:t>
      </w:r>
      <w:r>
        <w:rPr>
          <w:rFonts w:ascii="宋体" w:cs="宋体" w:hint="eastAsia"/>
          <w:color w:val="auto"/>
          <w:u w:val="single"/>
          <w:highlight w:val="auto"/>
        </w:rPr>
        <w:t>，逾期返还的，</w:t>
      </w:r>
      <w:r>
        <w:rPr>
          <w:rFonts w:ascii="宋体" w:cs="宋体" w:hint="eastAsia"/>
          <w:bCs/>
          <w:color w:val="auto"/>
          <w:u w:val="single"/>
          <w:highlight w:val="auto"/>
        </w:rPr>
        <w:t>承包人须向</w:t>
      </w:r>
      <w:r>
        <w:rPr>
          <w:rFonts w:ascii="宋体" w:cs="宋体" w:hint="eastAsia"/>
          <w:color w:val="auto"/>
          <w:highlight w:val="auto"/>
        </w:rPr>
        <w:t>发包人</w:t>
      </w:r>
      <w:r>
        <w:rPr>
          <w:rFonts w:ascii="宋体" w:cs="宋体" w:hint="eastAsia"/>
          <w:bCs/>
          <w:color w:val="auto"/>
          <w:u w:val="single"/>
          <w:highlight w:val="auto"/>
        </w:rPr>
        <w:t>支付应返还款项每日2‰的违约金。</w:t>
      </w:r>
    </w:p>
    <w:p>
      <w:pPr>
        <w:pStyle w:val="359"/>
        <w:spacing w:line="360" w:lineRule="auto"/>
        <w:ind w:firstLineChars="200" w:firstLine="420"/>
        <w:rPr>
          <w:rFonts w:ascii="宋体" w:cs="宋体" w:hint="eastAsia"/>
          <w:color w:val="auto"/>
          <w:highlight w:val="auto"/>
        </w:rPr>
      </w:pPr>
      <w:r>
        <w:rPr>
          <w:rFonts w:ascii="宋体" w:cs="宋体" w:hint="eastAsia"/>
          <w:color w:val="auto"/>
          <w:u w:val="single"/>
          <w:highlight w:val="auto"/>
        </w:rPr>
        <w:t>由于工程变更等原因造成工程总投资超出概算的，未经调概（中央预算内资金除外）前，一律不予结算和核拨超概部分费用。本工程最终结算价以国家及</w:t>
      </w:r>
      <w:r>
        <w:rPr>
          <w:rFonts w:ascii="宋体" w:cs="宋体" w:hint="eastAsia"/>
          <w:color w:val="auto"/>
          <w:u w:val="single"/>
          <w:lang w:eastAsia="zh-CN"/>
          <w:highlight w:val="auto"/>
        </w:rPr>
        <w:t>崇左</w:t>
      </w:r>
      <w:r>
        <w:rPr>
          <w:rFonts w:ascii="宋体" w:cs="宋体" w:hint="eastAsia"/>
          <w:color w:val="auto"/>
          <w:u w:val="single"/>
          <w:highlight w:val="auto"/>
        </w:rPr>
        <w:t>市政府投资工程结算管理有关规定执行，以</w:t>
      </w:r>
      <w:r>
        <w:rPr>
          <w:rFonts w:ascii="宋体" w:cs="宋体" w:hint="eastAsia"/>
          <w:color w:val="auto"/>
          <w:u w:val="single"/>
          <w:lang w:eastAsia="zh-CN"/>
          <w:highlight w:val="auto"/>
        </w:rPr>
        <w:t>崇左</w:t>
      </w:r>
      <w:r>
        <w:rPr>
          <w:rFonts w:ascii="宋体" w:cs="宋体" w:hint="eastAsia"/>
          <w:color w:val="auto"/>
          <w:u w:val="single"/>
          <w:highlight w:val="auto"/>
        </w:rPr>
        <w:t>市相关城区财政部门审定为准。承包人因承包本工程产生的工程赶工措施费、工程质量保证施工措施费、扰民施工措施费、场地不足施工措施费、施工安全及技术施工措施费等由承包人自行承担</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（2）国家和自治区、</w:t>
      </w:r>
      <w:r>
        <w:rPr>
          <w:rFonts w:ascii="宋体" w:cs="宋体" w:hint="eastAsia"/>
          <w:color w:val="auto"/>
          <w:lang w:eastAsia="zh-CN"/>
          <w:highlight w:val="auto"/>
        </w:rPr>
        <w:t>崇左</w:t>
      </w:r>
      <w:r>
        <w:rPr>
          <w:rFonts w:ascii="宋体" w:cs="宋体" w:hint="eastAsia"/>
          <w:color w:val="auto"/>
          <w:highlight w:val="auto"/>
        </w:rPr>
        <w:t>市政策性调整有关费用标准的，按文件规定执行。本工程最终结算价以按国家及</w:t>
      </w:r>
      <w:r>
        <w:rPr>
          <w:rFonts w:ascii="宋体" w:cs="宋体" w:hint="eastAsia"/>
          <w:color w:val="auto"/>
          <w:lang w:eastAsia="zh-CN"/>
          <w:highlight w:val="auto"/>
        </w:rPr>
        <w:t>崇左</w:t>
      </w:r>
      <w:r>
        <w:rPr>
          <w:rFonts w:ascii="宋体" w:cs="宋体" w:hint="eastAsia"/>
          <w:color w:val="auto"/>
          <w:highlight w:val="auto"/>
        </w:rPr>
        <w:t>市有关规定执行审定后为准，具体由合同双方协商后在签订施工合同时明确。</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本工程可以调整的主要材料：因征地拆迁影响及重大设计变更等建设单位的原因，在招标后延迟开工或中途停建重新复工的施工工期内，主要材料涨跌的调整幅度按南重点办[2014]29号文执行。本工程最终结算价以按国家有关政策规定审定为准。</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3、其他价格方式：</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（2）总价合同。</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总价包含的风险范围：</w:t>
      </w:r>
      <w:r>
        <w:rPr>
          <w:rFonts w:ascii="宋体" w:cs="宋体" w:hint="eastAsia"/>
          <w:color w:val="auto"/>
          <w:u w:val="single"/>
          <w:highlight w:val="auto"/>
        </w:rPr>
        <w:t xml:space="preserve">包含除工程变更、政策性调整、市场价格波动。除工程变更外，结算时不再对招标施工图对应的工程量重新计量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风险范围以外合同价格的调整方法：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①工程变更：</w:t>
      </w:r>
      <w:r>
        <w:rPr>
          <w:rFonts w:ascii="宋体" w:cs="宋体" w:hint="eastAsia"/>
          <w:color w:val="auto"/>
          <w:u w:val="single"/>
          <w:highlight w:val="auto"/>
        </w:rPr>
        <w:t>按10.4.1变更估价原则的约定调整</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②政策性调整：</w:t>
      </w:r>
      <w:r>
        <w:rPr>
          <w:rFonts w:ascii="宋体" w:cs="宋体" w:hint="eastAsia"/>
          <w:color w:val="auto"/>
          <w:u w:val="single"/>
          <w:highlight w:val="auto"/>
        </w:rPr>
        <w:t>按国家、自治区住房城乡建设厅或工程所在地市级住房城乡建设主管部门颁布的文件执行。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③市场波动引起的调整：</w:t>
      </w:r>
      <w:r>
        <w:rPr>
          <w:rFonts w:ascii="宋体" w:cs="宋体" w:hint="eastAsia"/>
          <w:color w:val="auto"/>
          <w:u w:val="single"/>
          <w:highlight w:val="auto"/>
        </w:rPr>
        <w:t>按11.1的约定调整。</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fldChar w:fldCharType="begin"/>
      </w:r>
      <w:r>
        <w:rPr>
          <w:rFonts w:ascii="宋体" w:cs="宋体" w:hint="eastAsia"/>
          <w:color w:val="auto"/>
          <w:highlight w:val="auto"/>
        </w:rPr>
        <w:instrText xml:space="preserve"> = 4 \* GB3 </w:instrText>
      </w:r>
      <w:r>
        <w:rPr>
          <w:rFonts w:ascii="宋体" w:cs="宋体" w:hint="eastAsia"/>
          <w:color w:val="auto"/>
          <w:highlight w:val="auto"/>
        </w:rPr>
        <w:fldChar w:fldCharType="separate"/>
      </w:r>
      <w:r>
        <w:rPr>
          <w:rFonts w:ascii="宋体" w:cs="宋体" w:hint="eastAsia"/>
          <w:color w:val="auto"/>
          <w:highlight w:val="auto"/>
        </w:rPr>
        <w:t>4</w:t>
      </w:r>
      <w:r>
        <w:rPr>
          <w:rFonts w:ascii="宋体" w:cs="宋体" w:hint="eastAsia"/>
          <w:color w:val="auto"/>
          <w:highlight w:val="auto"/>
        </w:rPr>
        <w:fldChar w:fldCharType="end"/>
      </w:r>
      <w:r>
        <w:rPr>
          <w:rFonts w:ascii="宋体" w:cs="宋体" w:hint="eastAsia"/>
          <w:color w:val="auto"/>
          <w:highlight w:val="auto"/>
        </w:rPr>
        <w:t>、其它：</w:t>
      </w:r>
      <w:r>
        <w:rPr>
          <w:rFonts w:ascii="宋体" w:cs="宋体" w:hint="eastAsia"/>
          <w:color w:val="auto"/>
          <w:u w:val="single"/>
          <w:highlight w:val="auto"/>
        </w:rPr>
        <w:t xml:space="preserve"> /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（3）其他价格方式：</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12.2 预付款</w:t>
      </w:r>
    </w:p>
    <w:p>
      <w:pPr>
        <w:pStyle w:val="360"/>
        <w:spacing w:line="360" w:lineRule="auto"/>
        <w:ind w:firstLineChars="200" w:firstLine="420"/>
        <w:jc w:val="left"/>
        <w:rPr>
          <w:rFonts w:ascii="宋体" w:cs="宋体" w:hint="eastAsia"/>
          <w:color w:val="auto"/>
          <w:highlight w:val="auto"/>
        </w:rPr>
      </w:pPr>
      <w:r>
        <w:rPr>
          <w:rFonts w:ascii="宋体" w:cs="宋体" w:hint="eastAsia"/>
          <w:color w:val="auto"/>
          <w:highlight w:val="auto"/>
        </w:rPr>
        <w:t>12.2.1 预付款的支付</w:t>
      </w:r>
    </w:p>
    <w:p>
      <w:pPr>
        <w:pStyle w:val="360"/>
        <w:spacing w:line="360" w:lineRule="auto"/>
        <w:ind w:firstLineChars="200" w:firstLine="420"/>
        <w:jc w:val="left"/>
        <w:rPr>
          <w:rFonts w:ascii="宋体" w:cs="宋体" w:hint="eastAsia"/>
          <w:color w:val="auto"/>
          <w:highlight w:val="auto"/>
        </w:rPr>
      </w:pPr>
      <w:r>
        <w:rPr>
          <w:rFonts w:ascii="宋体" w:cs="宋体" w:hint="eastAsia"/>
          <w:color w:val="auto"/>
          <w:highlight w:val="auto"/>
        </w:rPr>
        <w:t>预付款支付比例或金额：</w:t>
      </w:r>
      <w:r>
        <w:rPr>
          <w:rFonts w:ascii="宋体" w:cs="宋体" w:hint="eastAsia"/>
          <w:color w:val="auto"/>
          <w:u w:val="single"/>
          <w:highlight w:val="auto"/>
        </w:rPr>
        <w:t>合同价</w:t>
      </w:r>
      <w:r>
        <w:rPr>
          <w:rFonts w:ascii="宋体" w:cs="宋体" w:hint="eastAsia"/>
          <w:color w:val="auto"/>
          <w:u w:val="single"/>
          <w:lang w:eastAsia="zh-CN"/>
          <w:highlight w:val="auto"/>
        </w:rPr>
        <w:t>的</w:t>
      </w:r>
      <w:r>
        <w:rPr>
          <w:rFonts w:ascii="宋体" w:cs="宋体" w:hint="eastAsia"/>
          <w:color w:val="auto"/>
          <w:u w:val="single"/>
          <w:highlight w:val="auto"/>
        </w:rPr>
        <w:t>30%。</w:t>
      </w:r>
    </w:p>
    <w:p>
      <w:pPr>
        <w:pStyle w:val="360"/>
        <w:spacing w:line="360" w:lineRule="auto"/>
        <w:ind w:firstLineChars="200" w:firstLine="420"/>
        <w:jc w:val="left"/>
        <w:rPr>
          <w:rFonts w:hint="eastAsia"/>
          <w:color w:val="auto"/>
          <w:highlight w:val="auto"/>
        </w:rPr>
      </w:pPr>
      <w:r>
        <w:rPr>
          <w:rFonts w:hint="eastAsia"/>
          <w:color w:val="auto"/>
          <w:highlight w:val="auto"/>
        </w:rPr>
        <w:t>预付款支付期限：</w:t>
      </w:r>
      <w:r>
        <w:rPr>
          <w:rFonts w:hint="eastAsia"/>
          <w:color w:val="auto"/>
          <w:u w:val="single"/>
          <w:lang w:val="en-US" w:eastAsia="zh-CN"/>
          <w:highlight w:val="auto"/>
        </w:rPr>
        <w:t>签订合同后10日内</w:t>
      </w:r>
      <w:r>
        <w:rPr>
          <w:rFonts w:hint="eastAsia"/>
          <w:color w:val="auto"/>
          <w:u w:val="single"/>
          <w:highlight w:val="auto"/>
        </w:rPr>
        <w:t>。</w:t>
      </w:r>
    </w:p>
    <w:p>
      <w:pPr>
        <w:pStyle w:val="360"/>
        <w:spacing w:line="360" w:lineRule="auto"/>
        <w:ind w:firstLineChars="200" w:firstLine="420"/>
        <w:jc w:val="left"/>
        <w:rPr>
          <w:rFonts w:hint="eastAsia"/>
          <w:color w:val="auto"/>
          <w:highlight w:val="auto"/>
        </w:rPr>
      </w:pPr>
      <w:r>
        <w:rPr>
          <w:rFonts w:hint="eastAsia"/>
          <w:color w:val="auto"/>
          <w:highlight w:val="auto"/>
        </w:rPr>
        <w:t>预付款扣回的方式：</w:t>
      </w:r>
      <w:r>
        <w:rPr>
          <w:rFonts w:hint="eastAsia"/>
          <w:color w:val="auto"/>
          <w:u w:val="single"/>
          <w:highlight w:val="auto"/>
        </w:rPr>
        <w:t>第一次进度款支付时，一次性抵扣，如第一次进度款不足以抵扣时，延续至下一期进度款支付时继续抵扣，直至抵扣完为止</w:t>
      </w:r>
      <w:r>
        <w:rPr>
          <w:rFonts w:hint="eastAsia"/>
          <w:color w:val="auto"/>
          <w:highlight w:val="auto"/>
        </w:rPr>
        <w:t>。</w:t>
      </w:r>
    </w:p>
    <w:p>
      <w:pPr>
        <w:pStyle w:val="360"/>
        <w:spacing w:line="360" w:lineRule="auto"/>
        <w:ind w:firstLineChars="200" w:firstLine="420"/>
        <w:jc w:val="left"/>
        <w:rPr>
          <w:rFonts w:ascii="宋体" w:cs="宋体" w:hint="eastAsia"/>
          <w:color w:val="auto"/>
          <w:highlight w:val="auto"/>
        </w:rPr>
      </w:pPr>
      <w:r>
        <w:rPr>
          <w:rFonts w:ascii="宋体" w:cs="宋体" w:hint="eastAsia"/>
          <w:color w:val="auto"/>
          <w:highlight w:val="auto"/>
        </w:rPr>
        <w:t>12.2.2 预付款担保</w:t>
      </w:r>
    </w:p>
    <w:p>
      <w:pPr>
        <w:pStyle w:val="360"/>
        <w:spacing w:line="360" w:lineRule="auto"/>
        <w:ind w:firstLineChars="200" w:firstLine="420"/>
        <w:jc w:val="left"/>
        <w:rPr>
          <w:rFonts w:hint="eastAsia"/>
          <w:color w:val="auto"/>
          <w:highlight w:val="auto"/>
        </w:rPr>
      </w:pPr>
      <w:r>
        <w:rPr>
          <w:rFonts w:hint="eastAsia"/>
          <w:color w:val="auto"/>
          <w:highlight w:val="auto"/>
        </w:rPr>
        <w:t>承包人提交</w:t>
      </w:r>
      <w:r>
        <w:rPr>
          <w:rFonts w:ascii="宋体" w:cs="宋体" w:hint="eastAsia"/>
          <w:color w:val="auto"/>
          <w:highlight w:val="auto"/>
        </w:rPr>
        <w:t>预付款</w:t>
      </w:r>
      <w:r>
        <w:rPr>
          <w:rFonts w:hint="eastAsia"/>
          <w:color w:val="auto"/>
          <w:highlight w:val="auto"/>
        </w:rPr>
        <w:t>担保的期限：</w:t>
      </w:r>
      <w:r>
        <w:rPr>
          <w:rFonts w:hint="eastAsia"/>
          <w:color w:val="auto"/>
          <w:u w:val="single"/>
          <w:highlight w:val="auto"/>
        </w:rPr>
        <w:t>工程预付款担保在工程预付款被</w:t>
      </w:r>
      <w:r>
        <w:rPr>
          <w:rFonts w:hint="eastAsia"/>
          <w:color w:val="auto"/>
          <w:u w:val="single"/>
          <w:lang w:eastAsia="zh-CN"/>
          <w:highlight w:val="auto"/>
        </w:rPr>
        <w:t>建设单位</w:t>
      </w:r>
      <w:r>
        <w:rPr>
          <w:rFonts w:hint="eastAsia"/>
          <w:color w:val="auto"/>
          <w:u w:val="single"/>
          <w:highlight w:val="auto"/>
        </w:rPr>
        <w:t>完全扣回之前承包人应保证预付款担保持续有效</w:t>
      </w:r>
      <w:r>
        <w:rPr>
          <w:rFonts w:hint="eastAsia"/>
          <w:color w:val="auto"/>
          <w:highlight w:val="auto"/>
        </w:rPr>
        <w:t>。</w:t>
      </w:r>
    </w:p>
    <w:p>
      <w:pPr>
        <w:pStyle w:val="360"/>
        <w:spacing w:line="360" w:lineRule="auto"/>
        <w:ind w:firstLineChars="200" w:firstLine="420"/>
        <w:jc w:val="left"/>
        <w:rPr>
          <w:rFonts w:hint="eastAsia"/>
          <w:color w:val="auto"/>
          <w:highlight w:val="auto"/>
        </w:rPr>
      </w:pPr>
      <w:r>
        <w:rPr>
          <w:rFonts w:hint="eastAsia"/>
          <w:color w:val="auto"/>
          <w:highlight w:val="auto"/>
        </w:rPr>
        <w:t>预付款担保的形式为：</w:t>
      </w:r>
      <w:r>
        <w:rPr>
          <w:rFonts w:hint="eastAsia"/>
          <w:color w:val="auto"/>
          <w:u w:val="single"/>
          <w:highlight w:val="auto"/>
        </w:rPr>
        <w:t>预付款担保可以采用现金、银行保函、工程担保或保证保险等形式</w:t>
      </w:r>
      <w:r>
        <w:rPr>
          <w:rFonts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12.3 计量</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12.3.1 计量原则（签订合同时结合招标清单编制说明）</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（1）</w:t>
      </w:r>
      <w:r>
        <w:rPr>
          <w:rFonts w:ascii="宋体" w:cs="宋体" w:hint="eastAsia"/>
          <w:color w:val="auto"/>
          <w:highlight w:val="auto"/>
        </w:rPr>
        <w:t>工程量计算规则：</w:t>
      </w:r>
      <w:r>
        <w:rPr>
          <w:rFonts w:ascii="宋体" w:cs="宋体" w:hint="eastAsia"/>
          <w:color w:val="auto"/>
          <w:szCs w:val="21"/>
          <w:highlight w:val="auto"/>
        </w:rPr>
        <w:t>设计图纸及相关标准、规范、技术资料。</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（2）《建设工程工程量清单计价规范》广西壮族自治区实施细则(GB50500-2013)、《建设工程工程量计算规范》广西壮族自治区实施细则（修订本）(GB50854~GB50862-2013)。</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（3）2013 年版《广西壮族自治区建筑装饰装修工程消耗量定额》、 2013 年版《广西壮族自治区建筑工程消耗量定额》、2015 年《广西壮族自治区安装工程消耗量定额》、2022 年版《广西壮族自治区市政工程消耗量定额》、2021 年版《广西壮族自治区园林绿化工程消耗量定额》及配套的费用定额、有关计价文件、广西壮族自治区住房和城乡建设厅关于颁布 2023 年《关于调整建设工程定额人工费及有关费率的通知》（桂建标〔2023〕7 号）。</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（4）广西壮族自治区住房和城乡建设厅关于颁布 2016 年《广西壮族自治区市政工程费用定额》的通知（桂建标〔2014〕31 号）。</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（5）广西壮族自治区住房和城乡建设厅关于建筑业实施营业税改征增值税后广西壮族自治区建设工程计价依据调整的通知（桂建标〔2016〕17 号）、广西壮族自治区住房城乡建设厅关于印发《广西壮族自治区房屋建筑和市政基础设施工程安全生产责任保险实施办法》的通知 桂建发〔2023〕1 号、广西壮族自治区住房城乡建设厅关于印发 《广西壮族自治区房屋建筑和市政基础设施工程安全生产责任保险实施细则》的通知 桂建发〔2023〕2 号、广西壮族自治区住房城乡建设厅关于印发广西壮族自治区房屋建筑和市政基础设施工程安全生产责任保险计价规定的通知 桂建发〔2023〕6 号。</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（6）主要材料价格参考《</w:t>
      </w:r>
      <w:r>
        <w:rPr>
          <w:rFonts w:ascii="宋体" w:cs="宋体" w:hint="eastAsia"/>
          <w:color w:val="auto"/>
          <w:szCs w:val="21"/>
          <w:lang w:eastAsia="zh-CN"/>
          <w:highlight w:val="auto"/>
        </w:rPr>
        <w:t>崇左</w:t>
      </w:r>
      <w:r>
        <w:rPr>
          <w:rFonts w:ascii="宋体" w:cs="宋体" w:hint="eastAsia"/>
          <w:color w:val="auto"/>
          <w:szCs w:val="21"/>
          <w:highlight w:val="auto"/>
        </w:rPr>
        <w:t>建设工程造价信息》2025年第</w:t>
      </w:r>
      <w:r>
        <w:rPr>
          <w:rFonts w:ascii="宋体" w:cs="宋体" w:hint="eastAsia"/>
          <w:color w:val="auto"/>
          <w:szCs w:val="21"/>
          <w:u w:val="single"/>
          <w:highlight w:val="auto"/>
        </w:rPr>
        <w:t xml:space="preserve">   </w:t>
      </w:r>
      <w:r>
        <w:rPr>
          <w:rFonts w:ascii="宋体" w:cs="宋体" w:hint="eastAsia"/>
          <w:color w:val="auto"/>
          <w:szCs w:val="21"/>
          <w:highlight w:val="auto"/>
        </w:rPr>
        <w:t>期</w:t>
      </w:r>
      <w:r>
        <w:rPr>
          <w:rFonts w:ascii="宋体" w:cs="宋体" w:hint="eastAsia"/>
          <w:color w:val="auto"/>
          <w:szCs w:val="21"/>
          <w:u w:val="single"/>
          <w:highlight w:val="auto"/>
        </w:rPr>
        <w:t xml:space="preserve">    </w:t>
      </w:r>
      <w:r>
        <w:rPr>
          <w:rFonts w:ascii="宋体" w:cs="宋体" w:hint="eastAsia"/>
          <w:color w:val="auto"/>
          <w:szCs w:val="21"/>
          <w:highlight w:val="auto"/>
        </w:rPr>
        <w:t>半月信息价及市场综合询价；</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（7）发包人不提供取土点、弃土点，有关土石方挖、填、弃的按有关部门审批路线及卫星测量距离为准，招标清单运距为上限值，超出清单运距部分不调整，由承包人自行承担。</w:t>
      </w:r>
    </w:p>
    <w:p>
      <w:pPr>
        <w:pStyle w:val="359"/>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（8）根据相关规定，投标</w:t>
      </w:r>
      <w:r>
        <w:rPr>
          <w:rFonts w:ascii="宋体" w:cs="宋体" w:hint="eastAsia"/>
          <w:color w:val="auto"/>
          <w:highlight w:val="auto"/>
        </w:rPr>
        <w:t>报价</w:t>
      </w:r>
      <w:r>
        <w:rPr>
          <w:rFonts w:ascii="宋体" w:cs="宋体" w:hint="eastAsia"/>
          <w:color w:val="auto"/>
          <w:szCs w:val="21"/>
          <w:highlight w:val="auto"/>
        </w:rPr>
        <w:t>中含建安劳保费。</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（9）本工程安全文明施工费的费用，按行业相关规定执行，作为不可竞争措施费单列，否则作废标处理。</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12.3.2 计量周期</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关于计量周期的约定：</w:t>
      </w:r>
      <w:r>
        <w:rPr>
          <w:rFonts w:ascii="宋体" w:cs="宋体" w:hint="eastAsia"/>
          <w:color w:val="auto"/>
          <w:u w:val="single"/>
          <w:highlight w:val="auto"/>
        </w:rPr>
        <w:t>每月25日前</w:t>
      </w:r>
      <w:r>
        <w:rPr>
          <w:rFonts w:ascii="宋体" w:cs="宋体" w:hint="eastAsia"/>
          <w:color w:val="auto"/>
          <w:highlight w:val="auto"/>
        </w:rPr>
        <w:t>。</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12.3.3 </w:t>
      </w:r>
      <w:r>
        <w:rPr>
          <w:rFonts w:ascii="宋体" w:cs="宋体" w:hint="eastAsia"/>
          <w:color w:val="auto"/>
          <w:szCs w:val="21"/>
          <w:highlight w:val="auto"/>
        </w:rPr>
        <w:t>单价</w:t>
      </w:r>
      <w:r>
        <w:rPr>
          <w:rFonts w:ascii="宋体" w:cs="宋体" w:hint="eastAsia"/>
          <w:color w:val="auto"/>
          <w:highlight w:val="auto"/>
        </w:rPr>
        <w:t>合同的计量</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关于单价合同计量的约定：</w:t>
      </w:r>
    </w:p>
    <w:p>
      <w:pPr>
        <w:pStyle w:val="101"/>
        <w:spacing w:line="360" w:lineRule="auto"/>
        <w:ind w:firstLineChars="208" w:firstLine="437"/>
        <w:rPr>
          <w:rFonts w:ascii="宋体" w:cs="宋体" w:hint="eastAsia"/>
          <w:color w:val="auto"/>
          <w:highlight w:val="auto"/>
        </w:rPr>
      </w:pPr>
      <w:r>
        <w:rPr>
          <w:rFonts w:ascii="宋体" w:cs="宋体" w:hint="eastAsia"/>
          <w:color w:val="auto"/>
          <w:highlight w:val="auto"/>
        </w:rPr>
        <w:t>(1) 工程量清单所列的工程量，不能作为承包人按合同履行其责任依据，实际施工中发生的工程量增加或减少并不影响承包人履行合同的责任，工程结算以完成的实际工程量为准。</w:t>
      </w:r>
    </w:p>
    <w:p>
      <w:pPr>
        <w:pStyle w:val="101"/>
        <w:spacing w:line="360" w:lineRule="auto"/>
        <w:ind w:firstLineChars="208" w:firstLine="437"/>
        <w:rPr>
          <w:rFonts w:ascii="宋体" w:cs="宋体" w:hint="eastAsia"/>
          <w:color w:val="auto"/>
          <w:highlight w:val="auto"/>
        </w:rPr>
      </w:pPr>
      <w:r>
        <w:rPr>
          <w:rFonts w:ascii="宋体" w:cs="宋体" w:hint="eastAsia"/>
          <w:color w:val="auto"/>
          <w:highlight w:val="auto"/>
        </w:rPr>
        <w:t>(2) 除另有规定外，发包人应按照合同通过计量来核实确定已完成的工程量和价值，承包人应得到该价值扣除保留金后的价款。当发包人要对已完工的工程量进行计量时，应适时地通知承包人参加。</w:t>
      </w:r>
    </w:p>
    <w:p>
      <w:pPr>
        <w:pStyle w:val="101"/>
        <w:spacing w:line="360" w:lineRule="auto"/>
        <w:ind w:firstLineChars="208" w:firstLine="437"/>
        <w:rPr>
          <w:rFonts w:ascii="宋体" w:cs="宋体" w:hint="eastAsia"/>
          <w:color w:val="auto"/>
          <w:highlight w:val="auto"/>
        </w:rPr>
      </w:pPr>
      <w:r>
        <w:rPr>
          <w:rFonts w:ascii="宋体" w:cs="宋体" w:hint="eastAsia"/>
          <w:color w:val="auto"/>
          <w:highlight w:val="auto"/>
        </w:rPr>
        <w:t>（3）设计变更工程量需符合《南发改城市【2014】431号》及《南重点办纪要【2015】59号》规定完善手续方可计量。</w:t>
      </w:r>
    </w:p>
    <w:p>
      <w:pPr>
        <w:pStyle w:val="101"/>
        <w:spacing w:line="360" w:lineRule="auto"/>
        <w:ind w:firstLineChars="208" w:firstLine="437"/>
        <w:rPr>
          <w:rFonts w:ascii="宋体" w:cs="宋体"/>
          <w:color w:val="auto"/>
          <w:highlight w:val="auto"/>
        </w:rPr>
      </w:pPr>
      <w:r>
        <w:rPr>
          <w:rFonts w:ascii="宋体" w:cs="宋体" w:hint="eastAsia"/>
          <w:color w:val="auto"/>
          <w:highlight w:val="auto"/>
        </w:rPr>
        <w:t>（4）承包人在每期申报工程进度款计量时，按要求向项目业主同时提交一份与工程进度相一致的工程施工过程资料，包括（设计变更纪要、工程洽商、现场收方单、施工照片、施工隐蔽工程影像资料、施工日记、质保资料等），文件要求为纸质及</w:t>
      </w:r>
      <w:r>
        <w:rPr>
          <w:rFonts w:ascii="宋体" w:cs="宋体" w:hint="eastAsia"/>
          <w:color w:val="auto"/>
          <w:lang w:eastAsia="zh-CN"/>
          <w:highlight w:val="auto"/>
        </w:rPr>
        <w:t>复印件</w:t>
      </w:r>
      <w:r>
        <w:rPr>
          <w:rFonts w:ascii="宋体" w:cs="宋体" w:hint="eastAsia"/>
          <w:color w:val="auto"/>
          <w:highlight w:val="auto"/>
        </w:rPr>
        <w:t>，否则将不予审批本期计量款。</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12.3.4 总价</w:t>
      </w:r>
      <w:r>
        <w:rPr>
          <w:rFonts w:ascii="宋体" w:cs="宋体" w:hint="eastAsia"/>
          <w:color w:val="auto"/>
          <w:szCs w:val="21"/>
          <w:highlight w:val="auto"/>
        </w:rPr>
        <w:t>合同</w:t>
      </w:r>
      <w:r>
        <w:rPr>
          <w:rFonts w:ascii="宋体" w:cs="宋体" w:hint="eastAsia"/>
          <w:color w:val="auto"/>
          <w:highlight w:val="auto"/>
        </w:rPr>
        <w:t>的计量</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（1）总价合同计量约定：进度款按支付分解表支付</w:t>
      </w:r>
      <w:r>
        <w:rPr>
          <w:rFonts w:ascii="宋体" w:cs="宋体" w:hint="eastAsia"/>
          <w:color w:val="auto"/>
          <w:kern w:val="0"/>
          <w:highlight w:val="auto"/>
        </w:rPr>
        <w:t>，</w:t>
      </w:r>
      <w:r>
        <w:rPr>
          <w:rFonts w:ascii="宋体" w:cs="宋体" w:hint="eastAsia"/>
          <w:color w:val="auto"/>
          <w:highlight w:val="auto"/>
        </w:rPr>
        <w:t>支付分解表在招标完成后签合同之前制定，具体详见本专用合同条款12.4.6。</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12.3.5 其他价格形式合同的计量</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其他价格形式的计量方式和程序：</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b/>
          <w:bCs/>
          <w:color w:val="auto"/>
          <w:highlight w:val="auto"/>
        </w:rPr>
      </w:pPr>
      <w:r>
        <w:rPr>
          <w:rFonts w:ascii="宋体" w:cs="宋体" w:hint="eastAsia"/>
          <w:b/>
          <w:bCs/>
          <w:color w:val="auto"/>
          <w:highlight w:val="auto"/>
        </w:rPr>
        <w:t>12.4 工程进度款支付</w:t>
      </w:r>
    </w:p>
    <w:p>
      <w:pPr>
        <w:pStyle w:val="101"/>
        <w:spacing w:line="360" w:lineRule="auto"/>
        <w:ind w:firstLineChars="200" w:firstLine="420"/>
        <w:jc w:val="left"/>
        <w:rPr>
          <w:rFonts w:ascii="宋体" w:eastAsia="宋体" w:cs="宋体" w:hint="eastAsia"/>
          <w:color w:val="auto"/>
          <w:lang w:val="en-US" w:eastAsia="zh-CN"/>
          <w:highlight w:val="auto"/>
        </w:rPr>
      </w:pPr>
      <w:r>
        <w:rPr>
          <w:rFonts w:ascii="宋体" w:eastAsia="宋体" w:cs="宋体" w:hint="eastAsia"/>
          <w:color w:val="auto"/>
          <w:highlight w:val="auto"/>
        </w:rPr>
        <w:t>政府机关、事业单位、国有企业建设工程进度款支付应不低于已完成工程价款的80%</w:t>
      </w:r>
      <w:r>
        <w:rPr>
          <w:rFonts w:ascii="宋体" w:eastAsia="宋体" w:cs="宋体" w:hint="eastAsia"/>
          <w:color w:val="auto"/>
          <w:lang w:eastAsia="zh-CN"/>
          <w:highlight w:val="auto"/>
        </w:rPr>
        <w:t>；</w:t>
      </w:r>
      <w:r>
        <w:rPr>
          <w:rFonts w:ascii="宋体" w:eastAsia="宋体" w:cs="宋体" w:hint="eastAsia"/>
          <w:color w:val="auto"/>
          <w:highlight w:val="auto"/>
        </w:rPr>
        <w:t>同时，在确保不超出工程总概</w:t>
      </w:r>
      <w:r>
        <w:rPr>
          <w:rFonts w:ascii="宋体" w:eastAsia="宋体" w:cs="宋体" w:hint="eastAsia"/>
          <w:color w:val="auto"/>
          <w:lang w:eastAsia="zh-CN"/>
          <w:highlight w:val="auto"/>
        </w:rPr>
        <w:t>（</w:t>
      </w:r>
      <w:r>
        <w:rPr>
          <w:rFonts w:ascii="宋体" w:eastAsia="宋体" w:cs="宋体" w:hint="eastAsia"/>
          <w:color w:val="auto"/>
          <w:lang w:val="en-US" w:eastAsia="zh-CN"/>
          <w:highlight w:val="auto"/>
        </w:rPr>
        <w:t>预</w:t>
      </w:r>
      <w:r>
        <w:rPr>
          <w:rFonts w:ascii="宋体" w:eastAsia="宋体" w:cs="宋体" w:hint="eastAsia"/>
          <w:color w:val="auto"/>
          <w:lang w:eastAsia="zh-CN"/>
          <w:highlight w:val="auto"/>
        </w:rPr>
        <w:t>）</w:t>
      </w:r>
      <w:r>
        <w:rPr>
          <w:rFonts w:ascii="宋体" w:eastAsia="宋体" w:cs="宋体" w:hint="eastAsia"/>
          <w:color w:val="auto"/>
          <w:highlight w:val="auto"/>
        </w:rPr>
        <w:t>算以及工程</w:t>
      </w:r>
      <w:r>
        <w:rPr>
          <w:rFonts w:ascii="宋体" w:eastAsia="宋体" w:cs="宋体" w:hint="eastAsia"/>
          <w:color w:val="auto"/>
          <w:lang w:val="en-US" w:eastAsia="zh-CN"/>
          <w:highlight w:val="auto"/>
        </w:rPr>
        <w:t>决（结）</w:t>
      </w:r>
      <w:r>
        <w:rPr>
          <w:rFonts w:ascii="宋体" w:eastAsia="宋体" w:cs="宋体" w:hint="eastAsia"/>
          <w:color w:val="auto"/>
          <w:highlight w:val="auto"/>
        </w:rPr>
        <w:t>算工作顺利开展的前提下，除按合同约定保留不超过工程价款总额3%的质量保证金外，进度款支付比例可由发承包双方</w:t>
      </w:r>
      <w:r>
        <w:rPr>
          <w:rFonts w:ascii="宋体" w:eastAsia="宋体" w:cs="宋体" w:hint="eastAsia"/>
          <w:color w:val="auto"/>
          <w:lang w:val="en-US" w:eastAsia="zh-CN"/>
          <w:highlight w:val="auto"/>
        </w:rPr>
        <w:t>根据项目实际情况自行确定。在结算过程中，若发生进度款支付超出实际已完成工程价款的情况，承包单位应按照规定在结算后30日内向发包单位返还多收到的工程进度款。</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12.4.1 付款周期</w:t>
      </w:r>
    </w:p>
    <w:p>
      <w:pPr>
        <w:pStyle w:val="101"/>
        <w:spacing w:line="360" w:lineRule="auto"/>
        <w:ind w:firstLineChars="200" w:firstLine="420"/>
        <w:jc w:val="left"/>
        <w:rPr>
          <w:rFonts w:ascii="Times New Roman" w:eastAsia="宋体" w:cs="Times New Roman" w:hAnsi="Times New Roman" w:hint="eastAsia"/>
          <w:color w:val="auto"/>
          <w:lang w:val="en-US" w:eastAsia="zh-CN"/>
          <w:highlight w:val="auto"/>
        </w:rPr>
      </w:pPr>
      <w:r>
        <w:rPr>
          <w:rFonts w:ascii="Times New Roman" w:eastAsia="宋体" w:cs="Times New Roman" w:hAnsi="Times New Roman" w:hint="eastAsia"/>
          <w:color w:val="auto"/>
          <w:lang w:val="zh-CN" w:eastAsia="zh-CN"/>
          <w:highlight w:val="auto"/>
        </w:rPr>
        <w:t>（1）</w:t>
      </w:r>
      <w:r>
        <w:rPr>
          <w:rFonts w:ascii="Times New Roman" w:eastAsia="宋体" w:cs="Times New Roman" w:hAnsi="Times New Roman" w:hint="eastAsia"/>
          <w:color w:val="auto"/>
          <w:lang w:val="en-US" w:eastAsia="zh-CN"/>
          <w:highlight w:val="auto"/>
        </w:rPr>
        <w:t>按如下方式支付：①签订合同后10日内支付合同价的30%作为预付款；②进度款随工程进度支付，当工程进度达50%时，发包方按合同价款的40%（含30%的预付款）向承包方支付工程进度款；当工程进度达到90%时，再支付合同款的40%；③通过结算审计后按实际结算金额支付至结算总价的97%，发包人按工程价款结算总额的3%预留工程质量保证金。</w:t>
      </w:r>
    </w:p>
    <w:p>
      <w:pPr>
        <w:pStyle w:val="101"/>
        <w:spacing w:line="360" w:lineRule="auto"/>
        <w:ind w:firstLineChars="200" w:firstLine="420"/>
        <w:jc w:val="left"/>
        <w:rPr>
          <w:rFonts w:ascii="宋体" w:cs="宋体" w:hint="eastAsia"/>
          <w:color w:val="auto"/>
          <w:highlight w:val="auto"/>
        </w:rPr>
      </w:pPr>
      <w:r>
        <w:rPr>
          <w:rFonts w:ascii="Times New Roman" w:eastAsia="宋体" w:cs="Times New Roman" w:hAnsi="Times New Roman" w:hint="eastAsia"/>
          <w:color w:val="auto"/>
          <w:lang w:val="en-US" w:eastAsia="zh-CN"/>
          <w:highlight w:val="auto"/>
        </w:rPr>
        <w:t>（2）合同约定的工程质量缺陷责任期</w:t>
      </w:r>
      <w:r>
        <w:rPr>
          <w:rFonts w:ascii="Times New Roman" w:eastAsia="宋体" w:cs="Times New Roman" w:hAnsi="Times New Roman" w:hint="eastAsia"/>
          <w:color w:val="auto"/>
          <w:lang w:val="zh-CN" w:eastAsia="zh-CN"/>
          <w:highlight w:val="auto"/>
        </w:rPr>
        <w:t>(最长不超过2年，防水部分5年)）</w:t>
      </w:r>
      <w:r>
        <w:rPr>
          <w:rFonts w:ascii="Times New Roman" w:eastAsia="宋体" w:cs="Times New Roman" w:hAnsi="Times New Roman" w:hint="eastAsia"/>
          <w:color w:val="auto"/>
          <w:lang w:val="en-US" w:eastAsia="zh-CN"/>
          <w:highlight w:val="auto"/>
        </w:rPr>
        <w:t>满后由承包人向发包人提出返还</w:t>
      </w:r>
      <w:r>
        <w:rPr>
          <w:rFonts w:ascii="Times New Roman" w:eastAsia="宋体" w:cs="Times New Roman" w:hAnsi="Times New Roman"/>
          <w:color w:val="auto"/>
          <w:lang w:val="en-US" w:eastAsia="zh-CN"/>
          <w:highlight w:val="auto"/>
        </w:rPr>
        <w:t>保证金的申请，发包人在接到承包人返还保证金申请后，于14天内</w:t>
      </w:r>
      <w:r>
        <w:rPr>
          <w:rFonts w:ascii="Times New Roman" w:eastAsia="宋体" w:cs="Times New Roman" w:hAnsi="Times New Roman" w:hint="eastAsia"/>
          <w:color w:val="auto"/>
          <w:lang w:val="en-US" w:eastAsia="zh-CN"/>
          <w:highlight w:val="auto"/>
        </w:rPr>
        <w:t>同承</w:t>
      </w:r>
      <w:r>
        <w:rPr>
          <w:rFonts w:ascii="Times New Roman" w:eastAsia="宋体" w:cs="Times New Roman" w:hAnsi="Times New Roman"/>
          <w:color w:val="auto"/>
          <w:lang w:val="en-US" w:eastAsia="zh-CN"/>
          <w:highlight w:val="auto"/>
        </w:rPr>
        <w:t>包人按照合同约定的内容进行核实。如无异议，发包人在核实后14天内将保证金</w:t>
      </w:r>
      <w:r>
        <w:rPr>
          <w:rFonts w:ascii="Times New Roman" w:eastAsia="宋体" w:cs="Times New Roman" w:hAnsi="Times New Roman" w:hint="eastAsia"/>
          <w:color w:val="auto"/>
          <w:lang w:val="en-US" w:eastAsia="zh-CN"/>
          <w:highlight w:val="auto"/>
        </w:rPr>
        <w:t>承</w:t>
      </w:r>
      <w:r>
        <w:rPr>
          <w:rFonts w:ascii="Times New Roman" w:eastAsia="宋体" w:cs="Times New Roman" w:hAnsi="Times New Roman"/>
          <w:color w:val="auto"/>
          <w:lang w:val="en-US" w:eastAsia="zh-CN"/>
          <w:highlight w:val="auto"/>
        </w:rPr>
        <w:t>包人(不计息)，逾期未返还的，依法承担违约责任。发包人在接到承包人返还保证</w:t>
      </w:r>
      <w:r>
        <w:rPr>
          <w:rFonts w:ascii="Times New Roman" w:eastAsia="宋体" w:cs="Times New Roman" w:hAnsi="Times New Roman" w:hint="eastAsia"/>
          <w:color w:val="auto"/>
          <w:lang w:val="en-US" w:eastAsia="zh-CN"/>
          <w:highlight w:val="auto"/>
        </w:rPr>
        <w:t>金申请后</w:t>
      </w:r>
      <w:r>
        <w:rPr>
          <w:rFonts w:ascii="Times New Roman" w:eastAsia="宋体" w:cs="Times New Roman" w:hAnsi="Times New Roman"/>
          <w:color w:val="auto"/>
          <w:lang w:val="en-US" w:eastAsia="zh-CN"/>
          <w:highlight w:val="auto"/>
        </w:rPr>
        <w:t>14天内不子答复，经催告后14天内仍不予答复，视同认可承包人的返还保证</w:t>
      </w:r>
      <w:r>
        <w:rPr>
          <w:rFonts w:ascii="Times New Roman" w:eastAsia="宋体" w:cs="Times New Roman" w:hAnsi="Times New Roman" w:hint="eastAsia"/>
          <w:color w:val="auto"/>
          <w:lang w:val="en-US" w:eastAsia="zh-CN"/>
          <w:highlight w:val="auto"/>
        </w:rPr>
        <w:t>金申请。</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12.4.2 进度付款申请单的编制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关于进度付款申请单编制的约定：</w:t>
      </w:r>
      <w:r>
        <w:rPr>
          <w:rFonts w:ascii="宋体" w:cs="宋体" w:hint="eastAsia"/>
          <w:color w:val="auto"/>
          <w:u w:val="single"/>
          <w:highlight w:val="auto"/>
        </w:rPr>
        <w:t xml:space="preserve">   按发包人要求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12.4.3 进度付款申请单的提交</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（1）单价合同进度付款申请单提交的约定：</w:t>
      </w:r>
      <w:r>
        <w:rPr>
          <w:rFonts w:ascii="宋体" w:cs="宋体" w:hint="eastAsia"/>
          <w:color w:val="auto"/>
          <w:u w:val="single"/>
          <w:highlight w:val="auto"/>
        </w:rPr>
        <w:t xml:space="preserve">   </w:t>
      </w:r>
      <w:r>
        <w:rPr>
          <w:rFonts w:ascii="宋体" w:cs="宋体" w:hint="eastAsia"/>
          <w:color w:val="auto"/>
          <w:szCs w:val="21"/>
          <w:u w:val="single"/>
          <w:highlight w:val="auto"/>
        </w:rPr>
        <w:t>按《通用合同条款》执行</w:t>
      </w:r>
      <w:r>
        <w:rPr>
          <w:rFonts w:ascii="宋体" w:cs="宋体" w:hint="eastAsia"/>
          <w:color w:val="auto"/>
          <w:u w:val="single"/>
          <w:highlight w:val="auto"/>
        </w:rPr>
        <w:t xml:space="preserve"> 。</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（2）总价合同进度付款申请单提交的约定：</w:t>
      </w:r>
      <w:r>
        <w:rPr>
          <w:rFonts w:ascii="宋体" w:cs="宋体" w:hint="eastAsia"/>
          <w:color w:val="auto"/>
          <w:u w:val="single"/>
          <w:highlight w:val="auto"/>
        </w:rPr>
        <w:t xml:space="preserve">      /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（3）其他价格形式合同进度付款申请单提交的约定：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12.4.4 进度款审核和支付</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（1）监理人审查并报送发包人的期限：</w:t>
      </w:r>
      <w:r>
        <w:rPr>
          <w:rFonts w:ascii="宋体" w:cs="宋体" w:hint="eastAsia"/>
          <w:color w:val="auto"/>
          <w:u w:val="single"/>
          <w:highlight w:val="auto"/>
        </w:rPr>
        <w:t xml:space="preserve"> </w:t>
      </w:r>
      <w:r>
        <w:rPr>
          <w:rFonts w:ascii="宋体" w:cs="宋体" w:hint="eastAsia"/>
          <w:color w:val="auto"/>
          <w:szCs w:val="21"/>
          <w:u w:val="single"/>
          <w:highlight w:val="auto"/>
        </w:rPr>
        <w:t>监理人应在收到承包人进度付款申请单以及相关资料后7 天内完成审查并报送发包人</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发包人完成审批并签发进度款支付证书的期限：</w:t>
      </w:r>
      <w:r>
        <w:rPr>
          <w:rFonts w:ascii="宋体" w:cs="宋体" w:hint="eastAsia"/>
          <w:color w:val="auto"/>
          <w:u w:val="single"/>
          <w:highlight w:val="auto"/>
        </w:rPr>
        <w:t>发包人</w:t>
      </w:r>
      <w:r>
        <w:rPr>
          <w:rFonts w:ascii="宋体" w:cs="宋体" w:hint="eastAsia"/>
          <w:color w:val="auto"/>
          <w:szCs w:val="21"/>
          <w:u w:val="single"/>
          <w:highlight w:val="auto"/>
        </w:rPr>
        <w:t>应在 10 日内完成审批</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（2）发包人支付进度款的期限：</w:t>
      </w:r>
      <w:r>
        <w:rPr>
          <w:rFonts w:ascii="宋体" w:cs="宋体" w:hint="eastAsia"/>
          <w:color w:val="auto"/>
          <w:u w:val="single"/>
          <w:highlight w:val="auto"/>
        </w:rPr>
        <w:t xml:space="preserve">承包人须提交当期申请工程进度款的相关计量资料、质保资料等给发包人审核通过后，资金到位后15个工作日内，发包人支付给承包人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发包人逾期支付进度款的违约金的计算方式：</w:t>
      </w:r>
      <w:r>
        <w:rPr>
          <w:rFonts w:ascii="宋体" w:cs="宋体" w:hint="eastAsia"/>
          <w:color w:val="auto"/>
          <w:u w:val="single"/>
          <w:highlight w:val="auto"/>
        </w:rPr>
        <w:t>无。</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进度款支付方式：</w:t>
      </w:r>
      <w:r>
        <w:rPr>
          <w:rFonts w:ascii="宋体" w:cs="宋体" w:hint="eastAsia"/>
          <w:color w:val="auto"/>
          <w:u w:val="single"/>
          <w:highlight w:val="auto"/>
        </w:rPr>
        <w:t>银行转账</w:t>
      </w:r>
      <w:r>
        <w:rPr>
          <w:rFonts w:ascii="宋体" w:cs="宋体" w:hint="eastAsia"/>
          <w:color w:val="auto"/>
          <w:highlight w:val="auto"/>
        </w:rPr>
        <w:t>。进度款支付申请（核准）表见合同附件</w:t>
      </w:r>
      <w:r>
        <w:rPr>
          <w:rFonts w:ascii="宋体" w:cs="宋体" w:hint="eastAsia"/>
          <w:color w:val="auto"/>
          <w:lang w:val="en-US" w:eastAsia="zh-CN"/>
          <w:highlight w:val="auto"/>
        </w:rPr>
        <w:t>6</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（3）农民工工资支付</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1）人工费用是指发包人向承包人专用账户拨付的专项用于支付农民工工资的工程款。农民工工资专用账户是指承包人在工程建设项目所在地银行业金融机构（简称银行）开立的，专项用于支付农民工工资的专用存款账户。</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2）农民工工资应与其它工程进度款分帐管理。承包人向发包人申请工程进度款时必须把工人工资部分单独列明，如果未单独列明，监理人不得签支付证书等支付工程款的手续，发包人不得审批和支付工程款。发包人必须把工程款分帐出来的农民工工资转入承包人工人工资支付专用账户专户，转入专户环节必须有银行流水凭证。</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3）发包人依据工程进度，按与承包人约定的农民工支付比例，将工程人工费分账支付到承包人的农民工工资专户，工程完工时发包人向承包人农民工工资专户支付的完工工程量的人工费支付比例不低于15 %，其余工程进度款项由发包人支付到承包人的单位基本户。</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4）工程建设领域总包单位对农民工工资支付负总责，推行分包单位农民工工资委托总包单位代发制度（以下简称总包代发制度）。工程建设项目施行总包代发制度的，总包单位与分包单位签订委托工资支付协议。如因施工总承包单位将分包给个人或者不具备合法经营资格的单位，导致拖欠农民工工资的，由施工总承包单位清偿，造成发包人损失的（包含声誉），发包人有权追偿。</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5）凡未向发包人提供农民工工资专户的，或者承包人在申请工程进度款时未将人工费单列的，发包人有权拒绝支付工程进度款，由承包人自行垫付工人工资。</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6）农民工工资使用要求：专款专用，除发放工人工资外，不得用于其他用途。承包人对于农民工工资拨付周期不得超过1个月，拨付日期应于每月20日之前支付完毕。</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7）承包人将农民工工资支付情况定期报告发包人和监理人，并提供相应的材料接受建设行政主管部门和劳动保障行政主管部门对此事项监管。</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8）承包人应将专用账户有关资料、用工管理台账等妥善保存，保存至工程完工且工资全部结清后3年。</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9）承包人不得以任何理由和事项为借口拖欠劳务工人工资，若因承包人拖欠劳务工人工资，导致劳务工人集体上告、上访、闹事（如拦马路），围攻现场或围攻发包人办公室，影响公共交通秩序、干扰政府正常办公及扰乱社会秩序等不良行为发生，发包人处以承包人5000元-20000元/次的违约金。</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（4）农民工工资支付专用账户：</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户名：</w:t>
      </w:r>
      <w:r>
        <w:rPr>
          <w:rFonts w:ascii="宋体" w:cs="宋体" w:hint="eastAsia"/>
          <w:color w:val="auto"/>
          <w:kern w:val="0"/>
          <w:u w:val="single"/>
          <w:highlight w:val="auto"/>
        </w:rPr>
        <w:t xml:space="preserve">                </w:t>
      </w:r>
      <w:r>
        <w:rPr>
          <w:rFonts w:ascii="宋体" w:cs="宋体" w:hint="eastAsia"/>
          <w:color w:val="auto"/>
          <w:kern w:val="0"/>
          <w:highlight w:val="auto"/>
        </w:rPr>
        <w:t xml:space="preserve">     农民工工资支付专户</w:t>
      </w:r>
      <w:r>
        <w:rPr>
          <w:rFonts w:ascii="宋体" w:cs="宋体" w:hint="eastAsia"/>
          <w:color w:val="auto"/>
          <w:kern w:val="0"/>
          <w:u w:val="single"/>
          <w:highlight w:val="auto"/>
        </w:rPr>
        <w:t xml:space="preserve">                </w:t>
      </w:r>
      <w:r>
        <w:rPr>
          <w:rFonts w:ascii="宋体" w:cs="宋体" w:hint="eastAsia"/>
          <w:color w:val="auto"/>
          <w:kern w:val="0"/>
          <w:highlight w:val="auto"/>
        </w:rPr>
        <w:t xml:space="preserve">    </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账号：</w:t>
      </w:r>
      <w:r>
        <w:rPr>
          <w:rFonts w:ascii="宋体" w:cs="宋体" w:hint="eastAsia"/>
          <w:color w:val="auto"/>
          <w:kern w:val="0"/>
          <w:u w:val="single"/>
          <w:highlight w:val="auto"/>
        </w:rPr>
        <w:t xml:space="preserve">                </w:t>
      </w:r>
      <w:r>
        <w:rPr>
          <w:rFonts w:ascii="宋体" w:cs="宋体" w:hint="eastAsia"/>
          <w:color w:val="auto"/>
          <w:kern w:val="0"/>
          <w:highlight w:val="auto"/>
        </w:rPr>
        <w:t xml:space="preserve">    </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开户行：</w:t>
      </w:r>
      <w:r>
        <w:rPr>
          <w:rFonts w:ascii="宋体" w:cs="宋体" w:hint="eastAsia"/>
          <w:color w:val="auto"/>
          <w:kern w:val="0"/>
          <w:u w:val="single"/>
          <w:highlight w:val="auto"/>
        </w:rPr>
        <w:t xml:space="preserve">                </w:t>
      </w:r>
      <w:r>
        <w:rPr>
          <w:rFonts w:ascii="宋体" w:cs="宋体" w:hint="eastAsia"/>
          <w:color w:val="auto"/>
          <w:kern w:val="0"/>
          <w:highlight w:val="auto"/>
        </w:rPr>
        <w:t>。</w:t>
      </w:r>
    </w:p>
    <w:p>
      <w:pPr>
        <w:pStyle w:val="101"/>
        <w:autoSpaceDE w:val="0"/>
        <w:autoSpaceDN w:val="0"/>
        <w:adjustRightInd w:val="0"/>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 xml:space="preserve">（5）发票约定：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承包人应在发包人每次付款前开具相应审核应付金额合法有效的增值税专用发票，否则发包人有权拒绝付款。</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按以下开票信息提供：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单位名称：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纳税人识别号：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开户行名称：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开户帐号：</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 xml:space="preserve">联系电话：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12.4.6 支付分解表的编制</w:t>
      </w:r>
    </w:p>
    <w:p>
      <w:pPr>
        <w:pStyle w:val="101"/>
        <w:spacing w:line="360" w:lineRule="auto"/>
        <w:ind w:firstLineChars="250" w:firstLine="525"/>
        <w:jc w:val="left"/>
        <w:rPr>
          <w:rFonts w:ascii="宋体" w:cs="宋体" w:hint="eastAsia"/>
          <w:color w:val="auto"/>
          <w:u w:val="single"/>
          <w:highlight w:val="auto"/>
        </w:rPr>
      </w:pPr>
      <w:r>
        <w:rPr>
          <w:rFonts w:ascii="宋体" w:cs="宋体" w:hint="eastAsia"/>
          <w:color w:val="auto"/>
          <w:highlight w:val="auto"/>
        </w:rPr>
        <w:t>（1） 总价合同支付分解表的编制与审批：</w:t>
      </w:r>
      <w:r>
        <w:rPr>
          <w:rFonts w:ascii="宋体" w:cs="宋体" w:hint="eastAsia"/>
          <w:color w:val="auto"/>
          <w:u w:val="single"/>
          <w:highlight w:val="auto"/>
        </w:rPr>
        <w:t>总价合同支付分分解表在招标完成后由发包人和承包人共同编制，</w:t>
      </w:r>
      <w:r>
        <w:rPr>
          <w:rFonts w:ascii="宋体" w:cs="宋体" w:hint="eastAsia"/>
          <w:color w:val="auto"/>
          <w:highlight w:val="auto"/>
        </w:rPr>
        <w:t>发包人</w:t>
      </w:r>
      <w:r>
        <w:rPr>
          <w:rFonts w:ascii="宋体" w:cs="宋体" w:hint="eastAsia"/>
          <w:color w:val="auto"/>
          <w:u w:val="single"/>
          <w:highlight w:val="auto"/>
        </w:rPr>
        <w:t>审批，并作为本合同内容，具体详见合同附件</w:t>
      </w:r>
      <w:r>
        <w:rPr>
          <w:rFonts w:ascii="宋体" w:cs="宋体" w:hint="eastAsia"/>
          <w:color w:val="auto"/>
          <w:u w:val="single"/>
          <w:lang w:val="en-US" w:eastAsia="zh-CN"/>
          <w:highlight w:val="auto"/>
        </w:rPr>
        <w:t>9</w:t>
      </w:r>
      <w:r>
        <w:rPr>
          <w:rFonts w:ascii="宋体" w:cs="宋体" w:hint="eastAsia"/>
          <w:color w:val="auto"/>
          <w:u w:val="single"/>
          <w:highlight w:val="auto"/>
        </w:rPr>
        <w:t>。</w:t>
      </w:r>
    </w:p>
    <w:p>
      <w:pPr>
        <w:pStyle w:val="101"/>
        <w:spacing w:line="360" w:lineRule="auto"/>
        <w:ind w:firstLineChars="250" w:firstLine="525"/>
        <w:jc w:val="left"/>
        <w:rPr>
          <w:rFonts w:ascii="宋体" w:cs="宋体" w:hint="eastAsia"/>
          <w:color w:val="auto"/>
          <w:highlight w:val="auto"/>
        </w:rPr>
      </w:pPr>
      <w:r>
        <w:rPr>
          <w:rFonts w:ascii="宋体" w:cs="宋体" w:hint="eastAsia"/>
          <w:color w:val="auto"/>
          <w:highlight w:val="auto"/>
        </w:rPr>
        <w:t>（2）单价合同的总价项目支付分解表的编制与审批：总价项目不采用支付分解表的方式计算，而按《建设工程工程量清单计价规范（GB50500-2013）广西壮族自治区实施细则》的规定执行。</w:t>
      </w:r>
    </w:p>
    <w:p>
      <w:pPr>
        <w:pStyle w:val="359"/>
        <w:spacing w:line="360" w:lineRule="auto"/>
        <w:rPr>
          <w:rFonts w:ascii="宋体" w:cs="宋体" w:hint="eastAsia"/>
          <w:b/>
          <w:color w:val="auto"/>
          <w:highlight w:val="auto"/>
        </w:rPr>
      </w:pPr>
      <w:r>
        <w:rPr>
          <w:rFonts w:ascii="宋体" w:cs="宋体" w:hint="eastAsia"/>
          <w:b/>
          <w:color w:val="auto"/>
          <w:highlight w:val="auto"/>
        </w:rPr>
        <w:t>13. 验收和工程试车</w:t>
      </w:r>
    </w:p>
    <w:p>
      <w:pPr>
        <w:pStyle w:val="359"/>
        <w:spacing w:line="360" w:lineRule="auto"/>
        <w:rPr>
          <w:rFonts w:ascii="宋体" w:cs="宋体" w:hint="eastAsia"/>
          <w:b/>
          <w:bCs/>
          <w:color w:val="auto"/>
          <w:highlight w:val="auto"/>
        </w:rPr>
      </w:pPr>
      <w:r>
        <w:rPr>
          <w:rFonts w:ascii="宋体" w:cs="宋体" w:hint="eastAsia"/>
          <w:b/>
          <w:bCs/>
          <w:color w:val="auto"/>
          <w:highlight w:val="auto"/>
        </w:rPr>
        <w:t>13.1 分部分项工程验收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13.1.2监理人不能按时进行验收时，应提前</w:t>
      </w:r>
      <w:r>
        <w:rPr>
          <w:rFonts w:ascii="宋体" w:cs="宋体" w:hint="eastAsia"/>
          <w:color w:val="auto"/>
          <w:u w:val="single"/>
          <w:highlight w:val="auto"/>
        </w:rPr>
        <w:t xml:space="preserve"> 24 </w:t>
      </w:r>
      <w:r>
        <w:rPr>
          <w:rFonts w:ascii="宋体" w:cs="宋体" w:hint="eastAsia"/>
          <w:color w:val="auto"/>
          <w:highlight w:val="auto"/>
        </w:rPr>
        <w:t>小时提交书面延期要求。</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关于延期最长不得超过：</w:t>
      </w:r>
      <w:r>
        <w:rPr>
          <w:rFonts w:ascii="宋体" w:cs="宋体" w:hint="eastAsia"/>
          <w:color w:val="auto"/>
          <w:u w:val="single"/>
          <w:highlight w:val="auto"/>
        </w:rPr>
        <w:t xml:space="preserve"> 48 </w:t>
      </w:r>
      <w:r>
        <w:rPr>
          <w:rFonts w:ascii="宋体" w:cs="宋体" w:hint="eastAsia"/>
          <w:color w:val="auto"/>
          <w:highlight w:val="auto"/>
        </w:rPr>
        <w:t>小时。</w:t>
      </w:r>
    </w:p>
    <w:p>
      <w:pPr>
        <w:pStyle w:val="359"/>
        <w:spacing w:line="360" w:lineRule="auto"/>
        <w:rPr>
          <w:rFonts w:ascii="宋体" w:cs="宋体" w:hint="eastAsia"/>
          <w:b/>
          <w:bCs/>
          <w:color w:val="auto"/>
          <w:highlight w:val="auto"/>
        </w:rPr>
      </w:pPr>
      <w:r>
        <w:rPr>
          <w:rFonts w:ascii="宋体" w:cs="宋体" w:hint="eastAsia"/>
          <w:b/>
          <w:bCs/>
          <w:color w:val="auto"/>
          <w:highlight w:val="auto"/>
        </w:rPr>
        <w:t>13.2 竣工验收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13.2.1竣工验收条件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（3）承包人负责整理和提交的竣工验收资料应当符合工程所在地建设行政主管部门和(或)城市建设档案管理机构有关施工资料的要求，具体内容包括：</w:t>
      </w:r>
      <w:r>
        <w:rPr>
          <w:rFonts w:ascii="宋体" w:cs="宋体" w:hint="eastAsia"/>
          <w:color w:val="auto"/>
          <w:u w:val="single"/>
          <w:highlight w:val="auto"/>
        </w:rPr>
        <w:t xml:space="preserve"> </w:t>
      </w:r>
      <w:r>
        <w:rPr>
          <w:rFonts w:ascii="宋体" w:cs="宋体" w:hint="eastAsia"/>
          <w:color w:val="auto"/>
          <w:kern w:val="0"/>
          <w:szCs w:val="21"/>
          <w:u w:val="single"/>
          <w:highlight w:val="auto"/>
        </w:rPr>
        <w:t>按工程所在地建设行政主管部门 和(或)城市建设档案管理机构有关规定执行，按通用条款13.1.2条执行并满足发包人要求</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竣工验收资料的份数：</w:t>
      </w:r>
      <w:r>
        <w:rPr>
          <w:rFonts w:ascii="宋体" w:cs="宋体" w:hint="eastAsia"/>
          <w:color w:val="auto"/>
          <w:u w:val="single"/>
          <w:highlight w:val="auto"/>
        </w:rPr>
        <w:t xml:space="preserve"> </w:t>
      </w:r>
      <w:r>
        <w:rPr>
          <w:rFonts w:ascii="宋体" w:cs="宋体" w:hint="eastAsia"/>
          <w:color w:val="auto"/>
          <w:szCs w:val="21"/>
          <w:u w:val="single"/>
          <w:highlight w:val="auto"/>
        </w:rPr>
        <w:t>一式陆套</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承包人提供竣工图的约定：</w:t>
      </w:r>
      <w:r>
        <w:rPr>
          <w:rFonts w:ascii="宋体" w:cs="宋体" w:hint="eastAsia"/>
          <w:color w:val="auto"/>
          <w:u w:val="single"/>
          <w:highlight w:val="auto"/>
        </w:rPr>
        <w:t>竣工验收正式通过后5天（工程造价在500万元以下含500万元）、10天（工程造价在500万元至1000万元之间含1000万元）、15天（工程造价在1000万元以上），提供竣工图的数量分别为2套、4套、6套。</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13.2.2竣工验收程序</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关于竣工验收程序的约定：</w:t>
      </w:r>
      <w:r>
        <w:rPr>
          <w:rFonts w:ascii="宋体" w:cs="宋体" w:hint="eastAsia"/>
          <w:color w:val="auto"/>
          <w:szCs w:val="21"/>
          <w:u w:val="single"/>
          <w:highlight w:val="auto"/>
        </w:rPr>
        <w:t>按建设行政主管部门要求的程序组织</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对已具备竣工验收条件，但因承包人拒不进行工地现场和质保资料整改，无法进行竣工验收的，发包人有权委托其他单位进行整改，由此产生费用由承包人承担，违约金的计算方法为：承包人每逾期一天按合同价款的万分之四向发包人支付违约金，最高限额不超过合同总造价的2.5%。发包人不按照本项约定组织竣工验收、颁发工程接收证书的违约金的计算方法：按通用条款13.2.2条执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13.2.3移交、接收全部与部分工程</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承包人向发包人移交工程的期限：</w:t>
      </w:r>
      <w:r>
        <w:rPr>
          <w:rFonts w:ascii="宋体" w:cs="宋体" w:hint="eastAsia"/>
          <w:color w:val="auto"/>
          <w:szCs w:val="21"/>
          <w:u w:val="single"/>
          <w:highlight w:val="auto"/>
        </w:rPr>
        <w:t xml:space="preserve"> 竣工验收合格后28天内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发包人未按本合同约定接收全部或部分工程的，违约金的计算方法为：</w:t>
      </w:r>
      <w:r>
        <w:rPr>
          <w:rFonts w:ascii="宋体" w:cs="宋体" w:hint="eastAsia"/>
          <w:color w:val="auto"/>
          <w:u w:val="single"/>
          <w:highlight w:val="auto"/>
        </w:rPr>
        <w:t>无</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承包人未按时移交工程的，违约金的计算方法为：</w:t>
      </w:r>
      <w:r>
        <w:rPr>
          <w:rFonts w:ascii="宋体" w:cs="宋体" w:hint="eastAsia"/>
          <w:color w:val="auto"/>
          <w:szCs w:val="21"/>
          <w:u w:val="single"/>
          <w:highlight w:val="auto"/>
        </w:rPr>
        <w:t>每逾期一日，承包人需按合同总价款的万分之四支付违约金给</w:t>
      </w:r>
      <w:r>
        <w:rPr>
          <w:rFonts w:ascii="宋体" w:cs="宋体" w:hint="eastAsia"/>
          <w:color w:val="auto"/>
          <w:kern w:val="0"/>
          <w:u w:val="single"/>
          <w:highlight w:val="auto"/>
        </w:rPr>
        <w:t>发包人</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13.3 工程试车</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13.3.1 试车程序</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工程试车内容：</w:t>
      </w:r>
      <w:r>
        <w:rPr>
          <w:rFonts w:ascii="宋体" w:cs="宋体" w:hint="eastAsia"/>
          <w:color w:val="auto"/>
          <w:u w:val="single"/>
          <w:highlight w:val="auto"/>
        </w:rPr>
        <w:t>按通用合同条款13.3条执行</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（1）单机无负荷试车费用由</w:t>
      </w:r>
      <w:r>
        <w:rPr>
          <w:rFonts w:ascii="宋体" w:cs="宋体" w:hint="eastAsia"/>
          <w:color w:val="auto"/>
          <w:u w:val="single"/>
          <w:highlight w:val="auto"/>
        </w:rPr>
        <w:t>承包人</w:t>
      </w:r>
      <w:r>
        <w:rPr>
          <w:rFonts w:ascii="宋体" w:cs="宋体" w:hint="eastAsia"/>
          <w:color w:val="auto"/>
          <w:highlight w:val="auto"/>
        </w:rPr>
        <w:t>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（2）无负荷联动试车费用由</w:t>
      </w:r>
      <w:r>
        <w:rPr>
          <w:rFonts w:ascii="宋体" w:cs="宋体" w:hint="eastAsia"/>
          <w:color w:val="auto"/>
          <w:u w:val="single"/>
          <w:highlight w:val="auto"/>
        </w:rPr>
        <w:t>承包人</w:t>
      </w:r>
      <w:r>
        <w:rPr>
          <w:rFonts w:ascii="宋体" w:cs="宋体" w:hint="eastAsia"/>
          <w:color w:val="auto"/>
          <w:highlight w:val="auto"/>
        </w:rPr>
        <w:t>承担。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13.3.3 投料试车</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关于投料试车相关事项的约定：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13.4 竣工退场</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13.4.1 竣工退场</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承包人完成竣工退场的期限：</w:t>
      </w:r>
      <w:r>
        <w:rPr>
          <w:rFonts w:ascii="宋体" w:cs="宋体" w:hint="eastAsia"/>
          <w:color w:val="auto"/>
          <w:u w:val="single"/>
          <w:highlight w:val="auto"/>
        </w:rPr>
        <w:t xml:space="preserve"> 应于项目竣工验收合格后15个工作日内退场、清偿完毕，否则发包人有权聘请第三方进行清场，由此造成承包人损失发包人不承担赔偿责任，清偿产生的费用由承包人承担 </w:t>
      </w:r>
      <w:r>
        <w:rPr>
          <w:rFonts w:ascii="宋体" w:cs="宋体" w:hint="eastAsia"/>
          <w:color w:val="auto"/>
          <w:kern w:val="0"/>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14. 竣工结算</w:t>
      </w:r>
    </w:p>
    <w:p>
      <w:pPr>
        <w:pStyle w:val="359"/>
        <w:spacing w:line="360" w:lineRule="auto"/>
        <w:rPr>
          <w:rFonts w:ascii="宋体" w:cs="宋体" w:hint="eastAsia"/>
          <w:b/>
          <w:bCs/>
          <w:color w:val="auto"/>
          <w:highlight w:val="auto"/>
        </w:rPr>
      </w:pPr>
      <w:r>
        <w:rPr>
          <w:rFonts w:ascii="宋体" w:cs="宋体" w:hint="eastAsia"/>
          <w:b/>
          <w:bCs/>
          <w:color w:val="auto"/>
          <w:highlight w:val="auto"/>
        </w:rPr>
        <w:t>14.1 竣工付款申请</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承包人提交竣工付款申请单的期限：</w:t>
      </w:r>
      <w:r>
        <w:rPr>
          <w:rFonts w:ascii="宋体" w:cs="宋体" w:hint="eastAsia"/>
          <w:color w:val="auto"/>
          <w:szCs w:val="21"/>
          <w:u w:val="single"/>
          <w:highlight w:val="auto"/>
        </w:rPr>
        <w:t>竣工验收合格45日内</w:t>
      </w:r>
      <w:r>
        <w:rPr>
          <w:rFonts w:ascii="宋体" w:cs="宋体" w:hint="eastAsia"/>
          <w:color w:val="auto"/>
          <w:u w:val="single"/>
          <w:highlight w:val="auto"/>
        </w:rPr>
        <w:t xml:space="preserve"> 。承包人逾期提交结算资料的，逾期一日按合同价款的万分之四承担逾期结算违约金。逾期达 7 天的，发包人有权自行审定的结算金额作为双方最终结算金额。</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竣工付款申请单应包括的内容：</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 承包人应在合同工期内编制完成竣工结算书，并在提交竣工验收报告的同时递交监理人。承包人递交的竣工结算资料包括：合同、施工图纸及会议纪要，设计变更资料，签证单及与投资变化有关的所有资料，竣工图，开工、竣工报告、竣工验收单，招标文件及投标文件，结算书及计算底稿（以上资料含电子文档、竣工图的CAD电子图档）</w:t>
      </w:r>
      <w:r>
        <w:rPr>
          <w:rFonts w:ascii="宋体" w:cs="宋体" w:hint="eastAsia"/>
          <w:color w:val="auto"/>
          <w:u w:val="single"/>
          <w:highlight w:val="auto"/>
        </w:rPr>
        <w:t xml:space="preserve"> </w:t>
      </w:r>
      <w:r>
        <w:rPr>
          <w:rFonts w:ascii="宋体" w:cs="宋体" w:hint="eastAsia"/>
          <w:color w:val="auto"/>
          <w:highlight w:val="auto"/>
        </w:rPr>
        <w:t>。竣工结算款支付申请（核准）表见合同附件</w:t>
      </w:r>
      <w:r>
        <w:rPr>
          <w:rFonts w:ascii="宋体" w:cs="宋体" w:hint="eastAsia"/>
          <w:color w:val="auto"/>
          <w:lang w:val="en-US" w:eastAsia="zh-CN"/>
          <w:highlight w:val="auto"/>
        </w:rPr>
        <w:t>7</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14.2 竣工结算审核</w:t>
      </w:r>
    </w:p>
    <w:p>
      <w:pPr>
        <w:pStyle w:val="101"/>
        <w:spacing w:line="360" w:lineRule="auto"/>
        <w:ind w:firstLineChars="200" w:firstLine="420"/>
        <w:rPr>
          <w:rFonts w:ascii="宋体" w:cs="宋体" w:hint="eastAsia"/>
          <w:b/>
          <w:bCs/>
          <w:color w:val="auto"/>
          <w:highlight w:val="auto"/>
        </w:rPr>
      </w:pPr>
      <w:r>
        <w:rPr>
          <w:rFonts w:ascii="宋体" w:cs="宋体" w:hint="eastAsia"/>
          <w:color w:val="auto"/>
          <w:highlight w:val="auto"/>
        </w:rPr>
        <w:t>发包人审批竣工付款申请单的期限：</w:t>
      </w:r>
    </w:p>
    <w:tbl>
      <w:tblPr>
        <w:jc w:val="cente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81"/>
        <w:gridCol w:w="2550"/>
        <w:gridCol w:w="5729"/>
      </w:tblGrid>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序号</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工程竣工结算报告金额</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发包人审查时间（含审计部门审核时间）</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1</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500万元以下</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从接到竣工结算报告和完整的竣工结算资料之日起20天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2</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500万元-2000万元</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从接到竣工结算报告和完整的竣工结算资料之日起30天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3</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2000万元-5000万元</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从接到竣工结算报告和完整的竣工结算资料之日起45天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4</w:t>
            </w:r>
          </w:p>
        </w:tc>
        <w:tc>
          <w:tcPr>
            <w:tcW w:w="2550"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5000万元以上</w:t>
            </w:r>
          </w:p>
        </w:tc>
        <w:tc>
          <w:tcPr>
            <w:tcW w:w="5729" w:type="dxa"/>
            <w:tcBorders>
              <w:top w:val="single" w:sz="4" w:space="0" w:color="auto"/>
              <w:left w:val="nil"/>
              <w:bottom w:val="single" w:sz="4" w:space="0" w:color="auto"/>
              <w:right w:val="single" w:sz="4" w:space="0" w:color="auto"/>
            </w:tcBorders>
            <w:noWrap/>
            <w:vAlign w:val="center"/>
          </w:tcPr>
          <w:p>
            <w:pPr>
              <w:pStyle w:val="359"/>
              <w:spacing w:line="360" w:lineRule="auto"/>
              <w:rPr>
                <w:rFonts w:ascii="宋体" w:cs="宋体" w:hint="eastAsia"/>
                <w:color w:val="auto"/>
                <w:highlight w:val="auto"/>
              </w:rPr>
            </w:pPr>
            <w:r>
              <w:rPr>
                <w:rFonts w:ascii="宋体" w:cs="宋体" w:hint="eastAsia"/>
                <w:color w:val="auto"/>
                <w:highlight w:val="auto"/>
              </w:rPr>
              <w:t>从接到竣工结算报告和完整的竣工结算资料之日起60天</w:t>
            </w:r>
          </w:p>
        </w:tc>
      </w:tr>
      <w:tr>
        <w:tc>
          <w:tcPr>
            <w:tcW w:w="681" w:type="dxa"/>
            <w:tcBorders>
              <w:top w:val="single" w:sz="4" w:space="0" w:color="auto"/>
              <w:left w:val="single" w:sz="4" w:space="0" w:color="auto"/>
              <w:bottom w:val="single" w:sz="4" w:space="0" w:color="auto"/>
              <w:right w:val="single" w:sz="4" w:space="0" w:color="auto"/>
            </w:tcBorders>
            <w:noWrap/>
            <w:vAlign w:val="center"/>
          </w:tcPr>
          <w:p>
            <w:pPr>
              <w:pStyle w:val="359"/>
              <w:spacing w:line="360" w:lineRule="auto"/>
              <w:jc w:val="center"/>
              <w:rPr>
                <w:rFonts w:ascii="宋体" w:cs="宋体" w:hint="eastAsia"/>
                <w:color w:val="auto"/>
                <w:highlight w:val="auto"/>
              </w:rPr>
            </w:pPr>
            <w:r>
              <w:rPr>
                <w:rFonts w:ascii="宋体" w:cs="宋体" w:hint="eastAsia"/>
                <w:color w:val="auto"/>
                <w:highlight w:val="auto"/>
              </w:rPr>
              <w:t>5</w:t>
            </w:r>
          </w:p>
        </w:tc>
        <w:tc>
          <w:tcPr>
            <w:tcW w:w="2550" w:type="dxa"/>
            <w:tcBorders>
              <w:top w:val="single" w:sz="4" w:space="0" w:color="auto"/>
              <w:left w:val="nil"/>
              <w:bottom w:val="single" w:sz="4" w:space="0" w:color="auto"/>
              <w:right w:val="single" w:sz="4" w:space="0" w:color="auto"/>
            </w:tcBorders>
            <w:noWrap/>
            <w:vAlign w:val="center"/>
          </w:tcPr>
          <w:p>
            <w:pPr>
              <w:pStyle w:val="101"/>
              <w:spacing w:line="360" w:lineRule="auto"/>
              <w:jc w:val="center"/>
              <w:rPr>
                <w:rFonts w:ascii="宋体" w:cs="宋体" w:hint="eastAsia"/>
                <w:color w:val="auto"/>
                <w:highlight w:val="auto"/>
              </w:rPr>
            </w:pPr>
            <w:r>
              <w:rPr>
                <w:rFonts w:ascii="宋体" w:cs="宋体" w:hint="eastAsia"/>
                <w:color w:val="auto"/>
                <w:highlight w:val="auto"/>
              </w:rPr>
              <w:t>5000万以上每增加0.5亿(不足0.5亿不增加)</w:t>
            </w:r>
          </w:p>
        </w:tc>
        <w:tc>
          <w:tcPr>
            <w:tcW w:w="5729" w:type="dxa"/>
            <w:tcBorders>
              <w:top w:val="single" w:sz="4" w:space="0" w:color="auto"/>
              <w:left w:val="nil"/>
              <w:bottom w:val="single" w:sz="4" w:space="0" w:color="auto"/>
              <w:right w:val="single" w:sz="4" w:space="0" w:color="auto"/>
            </w:tcBorders>
            <w:noWrap/>
            <w:vAlign w:val="center"/>
          </w:tcPr>
          <w:p>
            <w:pPr>
              <w:pStyle w:val="101"/>
              <w:spacing w:line="360" w:lineRule="auto"/>
              <w:jc w:val="center"/>
              <w:rPr>
                <w:rFonts w:ascii="宋体" w:cs="宋体" w:hint="eastAsia"/>
                <w:color w:val="auto"/>
                <w:highlight w:val="auto"/>
              </w:rPr>
            </w:pPr>
            <w:r>
              <w:rPr>
                <w:rFonts w:ascii="宋体" w:cs="宋体" w:hint="eastAsia"/>
                <w:color w:val="auto"/>
                <w:highlight w:val="auto"/>
              </w:rPr>
              <w:t>增加10天</w:t>
            </w:r>
          </w:p>
        </w:tc>
      </w:tr>
    </w:tbl>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因承包人提供的结算资料不完整而需要补充或承包人不按时对账耽误时间时，审查时间应相应顺延。</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竣工结算审核约定：</w:t>
      </w:r>
    </w:p>
    <w:p>
      <w:pPr>
        <w:pStyle w:val="101"/>
        <w:spacing w:line="360" w:lineRule="auto"/>
        <w:ind w:firstLineChars="196" w:firstLine="412"/>
        <w:rPr>
          <w:rFonts w:ascii="宋体" w:cs="宋体" w:hint="eastAsia"/>
          <w:color w:val="auto"/>
          <w:u w:val="single"/>
          <w:highlight w:val="auto"/>
        </w:rPr>
      </w:pPr>
      <w:r>
        <w:rPr>
          <w:rFonts w:ascii="宋体" w:cs="宋体" w:hint="eastAsia"/>
          <w:color w:val="auto"/>
          <w:u w:val="single"/>
          <w:highlight w:val="auto"/>
        </w:rPr>
        <w:t>1、工程竣工验收报告经</w:t>
      </w:r>
      <w:r>
        <w:rPr>
          <w:rFonts w:ascii="宋体" w:cs="宋体" w:hint="eastAsia"/>
          <w:color w:val="auto"/>
          <w:szCs w:val="21"/>
          <w:u w:val="single"/>
          <w:highlight w:val="auto"/>
        </w:rPr>
        <w:t>发包人</w:t>
      </w:r>
      <w:r>
        <w:rPr>
          <w:rFonts w:ascii="宋体" w:cs="宋体" w:hint="eastAsia"/>
          <w:color w:val="auto"/>
          <w:u w:val="single"/>
          <w:highlight w:val="auto"/>
        </w:rPr>
        <w:t>认可后30天内，承包人向</w:t>
      </w:r>
      <w:r>
        <w:rPr>
          <w:rFonts w:ascii="宋体" w:cs="宋体" w:hint="eastAsia"/>
          <w:color w:val="auto"/>
          <w:szCs w:val="21"/>
          <w:u w:val="single"/>
          <w:highlight w:val="auto"/>
        </w:rPr>
        <w:t>发包人</w:t>
      </w:r>
      <w:r>
        <w:rPr>
          <w:rFonts w:ascii="宋体" w:cs="宋体" w:hint="eastAsia"/>
          <w:color w:val="auto"/>
          <w:u w:val="single"/>
          <w:highlight w:val="auto"/>
        </w:rPr>
        <w:t>递交竣工验收合格资料及完整的结算资料和报告，双方按照本工程合同约定的价格形式及价款调整办法进行工程竣工结算。2、</w:t>
      </w:r>
      <w:r>
        <w:rPr>
          <w:rFonts w:ascii="宋体" w:cs="宋体" w:hint="eastAsia"/>
          <w:color w:val="auto"/>
          <w:szCs w:val="21"/>
          <w:u w:val="single"/>
          <w:highlight w:val="auto"/>
        </w:rPr>
        <w:t>发包人</w:t>
      </w:r>
      <w:r>
        <w:rPr>
          <w:rFonts w:ascii="宋体" w:cs="宋体" w:hint="eastAsia"/>
          <w:color w:val="auto"/>
          <w:u w:val="single"/>
          <w:highlight w:val="auto"/>
        </w:rPr>
        <w:t>收到承包人递交的竣工结算报告及结算资料之日起30天内进行审核，并给予确认或者提出审核意见。</w:t>
      </w:r>
      <w:r>
        <w:rPr>
          <w:rFonts w:ascii="宋体" w:cs="宋体" w:hint="eastAsia"/>
          <w:color w:val="auto"/>
          <w:szCs w:val="21"/>
          <w:u w:val="single"/>
          <w:highlight w:val="auto"/>
        </w:rPr>
        <w:t>发包人</w:t>
      </w:r>
      <w:r>
        <w:rPr>
          <w:rFonts w:ascii="宋体" w:cs="宋体" w:hint="eastAsia"/>
          <w:color w:val="auto"/>
          <w:u w:val="single"/>
          <w:highlight w:val="auto"/>
        </w:rPr>
        <w:t>逾期未完成审核且未提出异议的视为</w:t>
      </w:r>
      <w:r>
        <w:rPr>
          <w:rFonts w:ascii="宋体" w:cs="宋体" w:hint="eastAsia"/>
          <w:color w:val="auto"/>
          <w:szCs w:val="21"/>
          <w:u w:val="single"/>
          <w:highlight w:val="auto"/>
        </w:rPr>
        <w:t>发包人</w:t>
      </w:r>
      <w:r>
        <w:rPr>
          <w:rFonts w:ascii="宋体" w:cs="宋体" w:hint="eastAsia"/>
          <w:color w:val="auto"/>
          <w:u w:val="single"/>
          <w:highlight w:val="auto"/>
        </w:rPr>
        <w:t>已同意承包人提交的竣工结算报告及结算价款，并以此作为竣工结算的依据。承包人对</w:t>
      </w:r>
      <w:r>
        <w:rPr>
          <w:rFonts w:ascii="宋体" w:cs="宋体" w:hint="eastAsia"/>
          <w:color w:val="auto"/>
          <w:szCs w:val="21"/>
          <w:u w:val="single"/>
          <w:highlight w:val="auto"/>
        </w:rPr>
        <w:t>发包人</w:t>
      </w:r>
      <w:r>
        <w:rPr>
          <w:rFonts w:ascii="宋体" w:cs="宋体" w:hint="eastAsia"/>
          <w:color w:val="auto"/>
          <w:u w:val="single"/>
          <w:highlight w:val="auto"/>
        </w:rPr>
        <w:t>确认的结算价款或审核意见有异议的，应在收到</w:t>
      </w:r>
      <w:r>
        <w:rPr>
          <w:rFonts w:ascii="宋体" w:cs="宋体" w:hint="eastAsia"/>
          <w:color w:val="auto"/>
          <w:szCs w:val="21"/>
          <w:u w:val="single"/>
          <w:highlight w:val="auto"/>
        </w:rPr>
        <w:t>发包人</w:t>
      </w:r>
      <w:r>
        <w:rPr>
          <w:rFonts w:ascii="宋体" w:cs="宋体" w:hint="eastAsia"/>
          <w:color w:val="auto"/>
          <w:u w:val="single"/>
          <w:highlight w:val="auto"/>
        </w:rPr>
        <w:t>确认的价款或审核意见之日起10天内提出异议，必要时合同当事人要当面核对，直至完成工程竣工结算。除非有特殊情形，否则从承包人递交竣工结算报告到完成竣工结算的时间应控制在“</w:t>
      </w:r>
      <w:r>
        <w:rPr>
          <w:rFonts w:ascii="宋体" w:cs="宋体" w:hint="eastAsia"/>
          <w:color w:val="auto"/>
          <w:szCs w:val="21"/>
          <w:u w:val="single"/>
          <w:highlight w:val="auto"/>
        </w:rPr>
        <w:t>发包人</w:t>
      </w:r>
      <w:r>
        <w:rPr>
          <w:rFonts w:ascii="宋体" w:cs="宋体" w:hint="eastAsia"/>
          <w:color w:val="auto"/>
          <w:u w:val="single"/>
          <w:highlight w:val="auto"/>
        </w:rPr>
        <w:t>审核竣工付款申请单的期限”要求的时间范围内。3.自竣工结算完毕之日起7天内，</w:t>
      </w:r>
      <w:r>
        <w:rPr>
          <w:rFonts w:ascii="宋体" w:cs="宋体" w:hint="eastAsia"/>
          <w:color w:val="auto"/>
          <w:szCs w:val="21"/>
          <w:u w:val="single"/>
          <w:highlight w:val="auto"/>
        </w:rPr>
        <w:t>发包人</w:t>
      </w:r>
      <w:r>
        <w:rPr>
          <w:rFonts w:ascii="宋体" w:cs="宋体" w:hint="eastAsia"/>
          <w:color w:val="auto"/>
          <w:u w:val="single"/>
          <w:highlight w:val="auto"/>
        </w:rPr>
        <w:t>按审定后的竣工结算价款，通知经办银行向承包人支付结算价款。</w:t>
      </w:r>
    </w:p>
    <w:p>
      <w:pPr>
        <w:pStyle w:val="101"/>
        <w:spacing w:line="360" w:lineRule="auto"/>
        <w:ind w:firstLineChars="196" w:firstLine="412"/>
        <w:rPr>
          <w:rFonts w:ascii="宋体" w:cs="宋体" w:hint="eastAsia"/>
          <w:color w:val="auto"/>
          <w:highlight w:val="auto"/>
        </w:rPr>
      </w:pPr>
      <w:r>
        <w:rPr>
          <w:rFonts w:ascii="宋体" w:cs="宋体" w:hint="eastAsia"/>
          <w:color w:val="auto"/>
          <w:highlight w:val="auto"/>
        </w:rPr>
        <w:t>备注：对于国有投资项目结算审核约定，双方可结合各地政府或有关部门出台的管理规定进行局部调整</w:t>
      </w:r>
    </w:p>
    <w:p>
      <w:pPr>
        <w:pStyle w:val="359"/>
        <w:spacing w:line="360" w:lineRule="auto"/>
        <w:rPr>
          <w:rFonts w:ascii="宋体" w:cs="宋体" w:hint="eastAsia"/>
          <w:b/>
          <w:bCs/>
          <w:color w:val="auto"/>
          <w:highlight w:val="auto"/>
        </w:rPr>
      </w:pPr>
      <w:r>
        <w:rPr>
          <w:rFonts w:ascii="宋体" w:cs="宋体" w:hint="eastAsia"/>
          <w:b/>
          <w:bCs/>
          <w:color w:val="auto"/>
          <w:highlight w:val="auto"/>
        </w:rPr>
        <w:t>14.4 最终结清</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14.4.1 最终结清申请单</w:t>
      </w:r>
    </w:p>
    <w:p>
      <w:pPr>
        <w:pStyle w:val="101"/>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承包人提交最终结清申请单的份数：</w:t>
      </w:r>
      <w:r>
        <w:rPr>
          <w:rFonts w:ascii="宋体" w:cs="宋体" w:hint="eastAsia"/>
          <w:color w:val="auto"/>
          <w:u w:val="single"/>
          <w:highlight w:val="auto"/>
        </w:rPr>
        <w:t xml:space="preserve">  </w:t>
      </w:r>
      <w:r>
        <w:rPr>
          <w:rFonts w:ascii="宋体" w:cs="宋体" w:hint="eastAsia"/>
          <w:color w:val="auto"/>
          <w:szCs w:val="21"/>
          <w:u w:val="single"/>
          <w:highlight w:val="auto"/>
        </w:rPr>
        <w:t>提交最终结清申请书一式贰份</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kern w:val="0"/>
          <w:highlight w:val="auto"/>
        </w:rPr>
        <w:t>承包人提交最终结算申请单的期限：</w:t>
      </w:r>
      <w:r>
        <w:rPr>
          <w:rFonts w:ascii="宋体" w:cs="宋体" w:hint="eastAsia"/>
          <w:color w:val="auto"/>
          <w:u w:val="single"/>
          <w:highlight w:val="auto"/>
        </w:rPr>
        <w:t xml:space="preserve">  </w:t>
      </w:r>
      <w:r>
        <w:rPr>
          <w:rFonts w:ascii="宋体" w:cs="宋体" w:hint="eastAsia"/>
          <w:color w:val="auto"/>
          <w:szCs w:val="21"/>
          <w:u w:val="single"/>
          <w:highlight w:val="auto"/>
        </w:rPr>
        <w:t>参照本合同通用条款执行</w:t>
      </w:r>
      <w:r>
        <w:rPr>
          <w:rFonts w:ascii="宋体" w:cs="宋体" w:hint="eastAsia"/>
          <w:color w:val="auto"/>
          <w:u w:val="single"/>
          <w:highlight w:val="auto"/>
        </w:rPr>
        <w:t xml:space="preserve"> </w:t>
      </w:r>
      <w:r>
        <w:rPr>
          <w:rFonts w:ascii="宋体" w:cs="宋体" w:hint="eastAsia"/>
          <w:color w:val="auto"/>
          <w:highlight w:val="auto"/>
        </w:rPr>
        <w:t xml:space="preserve">。 </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最终结算款支付申请（核准）表见合同附件</w:t>
      </w:r>
      <w:r>
        <w:rPr>
          <w:rFonts w:ascii="宋体" w:cs="宋体" w:hint="eastAsia"/>
          <w:color w:val="auto"/>
          <w:lang w:val="en-US" w:eastAsia="zh-CN"/>
          <w:highlight w:val="auto"/>
        </w:rPr>
        <w:t>8</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14.4.2 最终结清证书和支付</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（1）发包人完成最终结清申请单的审批并颁发最终结清证书的期限：</w:t>
      </w:r>
      <w:r>
        <w:rPr>
          <w:rFonts w:ascii="宋体" w:cs="宋体" w:hint="eastAsia"/>
          <w:color w:val="auto"/>
          <w:u w:val="single"/>
          <w:highlight w:val="auto"/>
        </w:rPr>
        <w:t>发包人</w:t>
      </w:r>
      <w:r>
        <w:rPr>
          <w:rFonts w:ascii="宋体" w:cs="宋体" w:hint="eastAsia"/>
          <w:color w:val="auto"/>
          <w:szCs w:val="21"/>
          <w:u w:val="single"/>
          <w:highlight w:val="auto"/>
        </w:rPr>
        <w:t>收到承包人交来的结算报告后 60 天内完成审定工作</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jc w:val="right"/>
        <w:rPr>
          <w:rFonts w:ascii="宋体" w:cs="宋体" w:hint="eastAsia"/>
          <w:color w:val="auto"/>
          <w:highlight w:val="auto"/>
        </w:rPr>
      </w:pPr>
      <w:r>
        <w:rPr>
          <w:rFonts w:ascii="宋体" w:cs="宋体" w:hint="eastAsia"/>
          <w:color w:val="auto"/>
          <w:highlight w:val="auto"/>
        </w:rPr>
        <w:t>（2）发包人完成支付的期限：</w:t>
      </w:r>
      <w:r>
        <w:rPr>
          <w:rFonts w:ascii="宋体" w:cs="宋体" w:hint="eastAsia"/>
          <w:color w:val="auto"/>
          <w:u w:val="single"/>
          <w:highlight w:val="auto"/>
        </w:rPr>
        <w:t>发包人</w:t>
      </w:r>
      <w:r>
        <w:rPr>
          <w:rFonts w:ascii="宋体" w:cs="宋体" w:hint="eastAsia"/>
          <w:color w:val="auto"/>
          <w:szCs w:val="21"/>
          <w:u w:val="single"/>
          <w:highlight w:val="auto"/>
        </w:rPr>
        <w:t>在经相关上级部门审批通过后 7 个工作日内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 缺陷责任期与保修</w:t>
      </w:r>
    </w:p>
    <w:p>
      <w:pPr>
        <w:pStyle w:val="359"/>
        <w:spacing w:line="360" w:lineRule="auto"/>
        <w:rPr>
          <w:rFonts w:ascii="宋体" w:cs="宋体" w:hint="eastAsia"/>
          <w:b/>
          <w:bCs/>
          <w:color w:val="auto"/>
          <w:highlight w:val="auto"/>
        </w:rPr>
      </w:pPr>
      <w:r>
        <w:rPr>
          <w:rFonts w:ascii="宋体" w:cs="宋体" w:hint="eastAsia"/>
          <w:b/>
          <w:bCs/>
          <w:color w:val="auto"/>
          <w:highlight w:val="auto"/>
        </w:rPr>
        <w:t>15.1缺陷责任期</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缺陷责任期的具体期限：</w:t>
      </w:r>
      <w:r>
        <w:rPr>
          <w:rFonts w:ascii="宋体" w:cs="宋体" w:hint="eastAsia"/>
          <w:color w:val="auto"/>
          <w:u w:val="single"/>
          <w:highlight w:val="auto"/>
        </w:rPr>
        <w:t>按工程质量保修条例执行</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15.2 质量保证金</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关于是否扣留质量保证金的约定：</w:t>
      </w:r>
      <w:r>
        <w:rPr>
          <w:rFonts w:ascii="宋体" w:cs="宋体" w:hint="eastAsia"/>
          <w:color w:val="auto"/>
          <w:u w:val="single"/>
          <w:highlight w:val="auto"/>
        </w:rPr>
        <w:t xml:space="preserve"> 是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15.2.1 承包人提供质量保证金的方式:</w:t>
      </w:r>
      <w:r>
        <w:rPr>
          <w:rFonts w:ascii="宋体" w:cs="宋体" w:hint="eastAsia"/>
          <w:color w:val="auto"/>
          <w:u w:val="single"/>
          <w:highlight w:val="auto"/>
        </w:rPr>
        <w:t>发包人按工程价款结算总额的3%预留工程质量保修金，待工程质量保修期满后无息返还。质保期届满后，在工程质量无任何质量问题的情况下，承包人应向发包人书面提交保证金退还申请书，因承包人未提交书面退还申请书的，发包人有权暂缓退还</w:t>
      </w:r>
      <w:r>
        <w:rPr>
          <w:rFonts w:ascii="宋体" w:cs="宋体" w:hint="eastAsia"/>
          <w:color w:val="auto"/>
          <w:highlight w:val="auto"/>
        </w:rPr>
        <w:t>。</w:t>
      </w:r>
    </w:p>
    <w:p>
      <w:pPr>
        <w:pStyle w:val="359"/>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（2）其他</w:t>
      </w:r>
      <w:r>
        <w:rPr>
          <w:rFonts w:ascii="宋体" w:cs="宋体" w:hint="eastAsia"/>
          <w:color w:val="auto"/>
          <w:highlight w:val="auto"/>
        </w:rPr>
        <w:t>方式</w:t>
      </w:r>
      <w:r>
        <w:rPr>
          <w:rFonts w:ascii="宋体" w:cs="宋体" w:hint="eastAsia"/>
          <w:color w:val="auto"/>
          <w:kern w:val="0"/>
          <w:highlight w:val="auto"/>
        </w:rPr>
        <w:t>：</w:t>
      </w:r>
      <w:r>
        <w:rPr>
          <w:rFonts w:ascii="宋体" w:cs="宋体" w:hint="eastAsia"/>
          <w:color w:val="auto"/>
          <w:highlight w:val="auto"/>
        </w:rPr>
        <w:t>银行转账、电汇或网上支付等形式。</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15.2.2质量保证金的扣留</w:t>
      </w:r>
    </w:p>
    <w:p>
      <w:pPr>
        <w:pStyle w:val="101"/>
        <w:autoSpaceDE w:val="0"/>
        <w:autoSpaceDN w:val="0"/>
        <w:adjustRightInd w:val="0"/>
        <w:spacing w:line="360" w:lineRule="auto"/>
        <w:ind w:firstLineChars="200" w:firstLine="420"/>
        <w:jc w:val="left"/>
        <w:rPr>
          <w:rFonts w:ascii="宋体" w:cs="宋体" w:hint="eastAsia"/>
          <w:color w:val="auto"/>
          <w:kern w:val="0"/>
          <w:highlight w:val="auto"/>
        </w:rPr>
      </w:pPr>
      <w:r>
        <w:rPr>
          <w:rFonts w:ascii="宋体" w:cs="宋体" w:hint="eastAsia"/>
          <w:color w:val="auto"/>
          <w:kern w:val="0"/>
          <w:highlight w:val="auto"/>
        </w:rPr>
        <w:t>其他扣留方式:  按工程价款结算总额的 3%预留工程质量保证金，待缺陷责任期满后无息返还剩余的质量保证金 。</w:t>
      </w:r>
    </w:p>
    <w:p>
      <w:pPr>
        <w:pStyle w:val="101"/>
        <w:spacing w:line="360" w:lineRule="auto"/>
        <w:ind w:firstLineChars="200" w:firstLine="420"/>
        <w:jc w:val="left"/>
        <w:rPr>
          <w:rFonts w:ascii="宋体" w:cs="宋体" w:hint="eastAsia"/>
          <w:color w:val="auto"/>
          <w:kern w:val="0"/>
          <w:u w:val="single"/>
          <w:highlight w:val="auto"/>
        </w:rPr>
      </w:pPr>
      <w:r>
        <w:rPr>
          <w:rFonts w:ascii="宋体" w:cs="宋体" w:hint="eastAsia"/>
          <w:color w:val="auto"/>
          <w:highlight w:val="auto"/>
        </w:rPr>
        <w:t>关于质量保证金的补充约定：</w:t>
      </w:r>
      <w:r>
        <w:rPr>
          <w:rFonts w:ascii="宋体" w:cs="宋体" w:hint="eastAsia"/>
          <w:color w:val="auto"/>
          <w:kern w:val="0"/>
          <w:u w:val="single"/>
          <w:highlight w:val="auto"/>
        </w:rPr>
        <w:t xml:space="preserve">  无 </w:t>
      </w:r>
      <w:r>
        <w:rPr>
          <w:rFonts w:ascii="宋体" w:cs="宋体" w:hint="eastAsia"/>
          <w:color w:val="auto"/>
          <w:kern w:val="0"/>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15.3保修</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15.3.1 保修责任</w:t>
      </w:r>
    </w:p>
    <w:p>
      <w:pPr>
        <w:pStyle w:val="101"/>
        <w:spacing w:line="360" w:lineRule="auto"/>
        <w:ind w:firstLineChars="195" w:firstLine="410"/>
        <w:jc w:val="left"/>
        <w:rPr>
          <w:rFonts w:ascii="宋体" w:cs="宋体" w:hint="eastAsia"/>
          <w:color w:val="auto"/>
          <w:highlight w:val="auto"/>
        </w:rPr>
      </w:pPr>
      <w:r>
        <w:rPr>
          <w:rFonts w:ascii="宋体" w:cs="宋体" w:hint="eastAsia"/>
          <w:color w:val="auto"/>
          <w:highlight w:val="auto"/>
        </w:rPr>
        <w:t>工程保修期为：</w:t>
      </w:r>
      <w:r>
        <w:rPr>
          <w:rFonts w:ascii="宋体" w:cs="宋体" w:hint="eastAsia"/>
          <w:color w:val="auto"/>
          <w:u w:val="single"/>
          <w:highlight w:val="auto"/>
        </w:rPr>
        <w:t xml:space="preserve"> 按质量保修书执行 </w:t>
      </w:r>
      <w:r>
        <w:rPr>
          <w:rFonts w:ascii="宋体" w:cs="宋体" w:hint="eastAsia"/>
          <w:color w:val="auto"/>
          <w:highlight w:val="auto"/>
        </w:rPr>
        <w:t>。</w:t>
      </w:r>
    </w:p>
    <w:p>
      <w:pPr>
        <w:pStyle w:val="101"/>
        <w:spacing w:line="360" w:lineRule="auto"/>
        <w:ind w:firstLineChars="195" w:firstLine="410"/>
        <w:jc w:val="left"/>
        <w:rPr>
          <w:rFonts w:ascii="宋体" w:cs="宋体" w:hint="eastAsia"/>
          <w:color w:val="auto"/>
          <w:highlight w:val="auto"/>
        </w:rPr>
      </w:pPr>
      <w:r>
        <w:rPr>
          <w:rFonts w:ascii="宋体" w:cs="宋体" w:hint="eastAsia"/>
          <w:color w:val="auto"/>
          <w:highlight w:val="auto"/>
        </w:rPr>
        <w:t>工程保修书具体内容见合同附件1。</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15.3.2 修复通知</w:t>
      </w:r>
    </w:p>
    <w:p>
      <w:pPr>
        <w:pStyle w:val="101"/>
        <w:spacing w:line="360" w:lineRule="auto"/>
        <w:ind w:firstLineChars="195" w:firstLine="410"/>
        <w:jc w:val="left"/>
        <w:rPr>
          <w:rFonts w:ascii="宋体" w:cs="宋体" w:hint="eastAsia"/>
          <w:color w:val="auto"/>
          <w:kern w:val="0"/>
          <w:u w:val="single"/>
          <w:highlight w:val="auto"/>
        </w:rPr>
      </w:pPr>
      <w:r>
        <w:rPr>
          <w:rFonts w:ascii="宋体" w:cs="宋体" w:hint="eastAsia"/>
          <w:color w:val="auto"/>
          <w:highlight w:val="auto"/>
        </w:rPr>
        <w:t>承包人收到保修通知并到达工程现场的合理时间：</w:t>
      </w:r>
      <w:r>
        <w:rPr>
          <w:rFonts w:ascii="宋体" w:cs="宋体" w:hint="eastAsia"/>
          <w:color w:val="auto"/>
          <w:u w:val="single"/>
          <w:highlight w:val="auto"/>
        </w:rPr>
        <w:t xml:space="preserve"> 按质量保修书执行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16. 违约</w:t>
      </w:r>
    </w:p>
    <w:p>
      <w:pPr>
        <w:pStyle w:val="359"/>
        <w:spacing w:line="360" w:lineRule="auto"/>
        <w:rPr>
          <w:rFonts w:ascii="宋体" w:cs="宋体" w:hint="eastAsia"/>
          <w:b/>
          <w:bCs/>
          <w:color w:val="auto"/>
          <w:highlight w:val="auto"/>
        </w:rPr>
      </w:pPr>
      <w:r>
        <w:rPr>
          <w:rFonts w:ascii="宋体" w:cs="宋体" w:hint="eastAsia"/>
          <w:b/>
          <w:bCs/>
          <w:color w:val="auto"/>
          <w:highlight w:val="auto"/>
        </w:rPr>
        <w:t>16.1 发包人违约</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16.1.1发包人违约的情形</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发包人违约的其他情形：</w:t>
      </w:r>
      <w:r>
        <w:rPr>
          <w:rFonts w:ascii="宋体" w:cs="宋体" w:hint="eastAsia"/>
          <w:color w:val="auto"/>
          <w:u w:val="single"/>
          <w:highlight w:val="auto"/>
        </w:rPr>
        <w:t xml:space="preserve"> 如发生时，另行协商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16.1.2 发包人违约的责任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发包人违约责任的承担方式和计算方法：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（1）因发包人原因未能在计划开工日期前7天内下达开工通知的违约责任：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（2）因发包人原因未能按合同约定支付合同价款的违约责任：</w:t>
      </w:r>
      <w:r>
        <w:rPr>
          <w:rFonts w:ascii="宋体" w:cs="宋体" w:hint="eastAsia"/>
          <w:color w:val="auto"/>
          <w:u w:val="single"/>
          <w:highlight w:val="auto"/>
        </w:rPr>
        <w:t>承包人与发包人签订延期付款协议。</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（3）发包人违反第10.1款〔变更的范围〕第（2）项约定，自行实施被取消的工作或转由他人实施的违约责任：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（4）发包人提供的材料、工程设备的规格、数量或质量不符合合同约定，或因发包人原因导致交货日期延误或交货地点变更等情况的违约责任：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（5）因发包人违反合同约定造成暂停施工的违约责任：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（6）发包人无正当理由没有在约定期限内发出复工指示，导致承包人无法复工的违约责任：</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（7）其他：</w:t>
      </w:r>
      <w:r>
        <w:rPr>
          <w:rFonts w:ascii="宋体" w:cs="宋体" w:hint="eastAsia"/>
          <w:color w:val="auto"/>
          <w:u w:val="single"/>
          <w:highlight w:val="auto"/>
        </w:rPr>
        <w:t xml:space="preserve"> 无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16.2 承包人违约</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16.2.1 承包人违约的情形</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承包人违约的其他情形：</w:t>
      </w:r>
      <w:r>
        <w:rPr>
          <w:rFonts w:ascii="宋体" w:cs="宋体" w:hint="eastAsia"/>
          <w:color w:val="auto"/>
          <w:kern w:val="0"/>
          <w:u w:val="single"/>
          <w:highlight w:val="auto"/>
        </w:rPr>
        <w:t>承包人未按照设计文件要求和施工规范进行施工，擅自修改工程设计内容的。经</w:t>
      </w:r>
      <w:r>
        <w:rPr>
          <w:rFonts w:ascii="宋体" w:cs="宋体" w:hint="eastAsia"/>
          <w:color w:val="auto"/>
          <w:kern w:val="0"/>
          <w:u w:val="single"/>
          <w:lang w:eastAsia="zh-CN"/>
          <w:highlight w:val="auto"/>
        </w:rPr>
        <w:t>崇左</w:t>
      </w:r>
      <w:r>
        <w:rPr>
          <w:rFonts w:ascii="宋体" w:cs="宋体" w:hint="eastAsia"/>
          <w:color w:val="auto"/>
          <w:kern w:val="0"/>
          <w:u w:val="single"/>
          <w:highlight w:val="auto"/>
        </w:rPr>
        <w:t>市的质量检测部门最终鉴定工程质量达不到合同约定的等级，工程质量不合格的。因承包人的原因致使建设工程在合理使用期限内造成人身和财产损害的。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16.2.2承包人违约的责任</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承包人违约责任的承担方式和计算方法：</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承包人有本合同通用条款第16.2.1（2）、（3）条内容情形的，承包人无条件返工处理，修复至工程质量要求并承担相关费用，并在发包人规定的时间内完成返工，否则发包人有权扣罚该分项工程10%的工程款作为处罚。</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（2）承包人有本合同通用条款第16.2.1（6）条情形的，或经监理人检验认为修复质量不合格而承包人拒绝再进行修补的，发包人将扣除承包人全部质量保证金。</w:t>
      </w:r>
    </w:p>
    <w:p>
      <w:pPr>
        <w:pStyle w:val="101"/>
        <w:spacing w:line="360" w:lineRule="auto"/>
        <w:ind w:firstLineChars="200" w:firstLine="420"/>
        <w:rPr>
          <w:rFonts w:ascii="宋体" w:cs="宋体" w:hint="eastAsia"/>
          <w:color w:val="auto"/>
          <w:highlight w:val="auto"/>
        </w:rPr>
      </w:pPr>
      <w:r>
        <w:rPr>
          <w:rFonts w:ascii="宋体" w:cs="宋体" w:hint="eastAsia"/>
          <w:color w:val="auto"/>
          <w:kern w:val="0"/>
          <w:highlight w:val="auto"/>
        </w:rPr>
        <w:t>（3）承包人有本专用合同条款3.2、3.3条违约责任的，发包人有权扣除承包人的违约金。违约金金额均在承包人的履约保证金及计量支付款内扣除。监理人预先下发含有罚款意向的指令，如承包人不及时采取措施纠正，则在指令下达后十五天下发罚款通知书（不再陈述罚款理由）。承包人履约保证金被罚款后由</w:t>
      </w:r>
      <w:r>
        <w:rPr>
          <w:rFonts w:ascii="宋体" w:cs="宋体" w:hint="eastAsia"/>
          <w:color w:val="auto"/>
          <w:szCs w:val="21"/>
          <w:highlight w:val="auto"/>
        </w:rPr>
        <w:t>发包人</w:t>
      </w:r>
      <w:r>
        <w:rPr>
          <w:rFonts w:ascii="宋体" w:cs="宋体" w:hint="eastAsia"/>
          <w:color w:val="auto"/>
          <w:kern w:val="0"/>
          <w:highlight w:val="auto"/>
        </w:rPr>
        <w:t>从最后一次计量支付时扣除相应金额补足履约保证金。承包人在合同期内，完成合同规定的全部工程，且质量合格，在本工程施工竣工验收后十五天内可申请返还全部或部分罚款，返还金额由监理人审核，发包人批准。罚款金额返还时不包括银行利息</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w:t>
      </w:r>
      <w:r>
        <w:rPr>
          <w:rFonts w:ascii="宋体" w:cs="宋体" w:hint="eastAsia"/>
          <w:color w:val="auto"/>
          <w:kern w:val="0"/>
          <w:highlight w:val="auto"/>
        </w:rPr>
        <w:t>4）承包人不得以任何理由和事项为借口拖欠劳务工人工资，若因承包人拖欠劳务工人工资，导致劳务工人集体上告、上访、闹事（如拦马路）、拉横幅，围攻现场或围攻发包人办公室，影响公共交通秩序、干扰政府正常办公及扰乱社会秩序等不良行为发生，发包人处以承包人5000元-20000元/次的违约金。出现承包人劳务用工在项目所在地或者发包人所在场所，采取包括但不限于以拖欠工资、工程款等理由，进行拉横幅、聚众、吵闹等影响发包人正常工作、声誉的行为，每次需向发包人支付违约金10000元。</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16.2.3 因承包人违约解除合同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关于承包人违约解除合同的特别约定：承包人有违反以下情况之一的，发包人有权解除合同，并没收其全部履约保证金。</w:t>
      </w:r>
    </w:p>
    <w:p>
      <w:pPr>
        <w:pStyle w:val="101"/>
        <w:spacing w:line="360" w:lineRule="auto"/>
        <w:ind w:firstLineChars="200" w:firstLine="420"/>
        <w:rPr>
          <w:rFonts w:ascii="宋体" w:cs="宋体"/>
          <w:color w:val="auto"/>
          <w:kern w:val="0"/>
          <w:highlight w:val="auto"/>
        </w:rPr>
      </w:pPr>
      <w:r>
        <w:rPr>
          <w:rFonts w:ascii="宋体" w:cs="宋体" w:hint="eastAsia"/>
          <w:color w:val="auto"/>
          <w:kern w:val="0"/>
          <w:highlight w:val="auto"/>
        </w:rPr>
        <w:t>(1)承包人无正当理由不按开工通知的要求及时进场组织施工和不按签订协议书时商定的进度计划有效地开展施工准备，造成工期延误的；</w:t>
      </w:r>
      <w:r>
        <w:rPr>
          <w:rFonts w:ascii="宋体" w:cs="宋体" w:hint="eastAsia"/>
          <w:color w:val="auto"/>
          <w:u w:val="single"/>
          <w:highlight w:val="auto"/>
        </w:rPr>
        <w:t xml:space="preserve"> 按施工组织计划与合同专用条款7.2条执行，如工期延误超过30个工作日，发包人有权解除合同，并追求其违约责任，承包人在收到解除合同通知后10个工作日内退场、清偿完毕，否则发包人有权聘请第三方进行清场，由此造成承包人损失发包人不承担赔偿责任，清偿产生的费用由承包人承担 </w:t>
      </w:r>
      <w:r>
        <w:rPr>
          <w:rFonts w:ascii="宋体" w:cs="宋体" w:hint="eastAsia"/>
          <w:color w:val="auto"/>
          <w:kern w:val="0"/>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(2)承包人违反本合同通用条款第3.5条规定私自将合同或合同的任何部分或任何权利转让给其他人，或私自将工程或工程的一部分分包出去的；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(3)未经监理人批准，承包人私自将已按投标文件承诺进入工地的工程设备、施工设备、临时工程或材料撤离工地的；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(4)由于承包人原因拒绝按合同进度计划及时完成合同规定的工程，而又未采取有效措施赶上进度，造成工期严重延误的；</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(5)承包人否认合同有效或拒绝履行合同规定的承包人义务，或由于法律、财务等原因导致承包人无法继续履行或实质上已停止履行合同的义务的；</w:t>
      </w:r>
    </w:p>
    <w:p>
      <w:pPr>
        <w:pStyle w:val="101"/>
        <w:spacing w:line="360" w:lineRule="auto"/>
        <w:ind w:firstLineChars="200" w:firstLine="420"/>
        <w:rPr>
          <w:rFonts w:ascii="宋体" w:cs="宋体"/>
          <w:color w:val="auto"/>
          <w:kern w:val="0"/>
          <w:highlight w:val="auto"/>
        </w:rPr>
      </w:pPr>
      <w:r>
        <w:rPr>
          <w:rFonts w:ascii="宋体" w:cs="宋体" w:hint="eastAsia"/>
          <w:color w:val="auto"/>
          <w:kern w:val="0"/>
          <w:highlight w:val="auto"/>
        </w:rPr>
        <w:t>(6)合同签订</w:t>
      </w:r>
      <w:r>
        <w:rPr>
          <w:rFonts w:ascii="宋体" w:cs="宋体" w:hint="eastAsia"/>
          <w:color w:val="auto"/>
          <w:highlight w:val="auto"/>
        </w:rPr>
        <w:t>且具备法定开工条件后</w:t>
      </w:r>
      <w:r>
        <w:rPr>
          <w:rFonts w:ascii="宋体" w:cs="宋体" w:hint="eastAsia"/>
          <w:color w:val="auto"/>
          <w:kern w:val="0"/>
          <w:highlight w:val="auto"/>
        </w:rPr>
        <w:t>之日起十五日内，承包人无法按合同规定及投标文件的承诺进场经监理工程师认可的该施工阶段应有的全部人员和机械的。</w:t>
      </w:r>
    </w:p>
    <w:p>
      <w:pPr>
        <w:pStyle w:val="101"/>
        <w:spacing w:line="360" w:lineRule="auto"/>
        <w:ind w:firstLineChars="200" w:firstLine="420"/>
        <w:rPr>
          <w:rFonts w:ascii="宋体" w:cs="宋体" w:hint="eastAsia"/>
          <w:color w:val="auto"/>
          <w:highlight w:val="auto"/>
        </w:rPr>
      </w:pPr>
      <w:r>
        <w:rPr>
          <w:rFonts w:ascii="宋体" w:cs="宋体" w:hint="eastAsia"/>
          <w:color w:val="auto"/>
          <w:szCs w:val="21"/>
          <w:highlight w:val="auto"/>
        </w:rPr>
        <w:t>发包人</w:t>
      </w:r>
      <w:r>
        <w:rPr>
          <w:rFonts w:ascii="宋体" w:cs="宋体" w:hint="eastAsia"/>
          <w:color w:val="auto"/>
          <w:kern w:val="0"/>
          <w:highlight w:val="auto"/>
        </w:rPr>
        <w:t>继续使用承包人在施工现场的材料、设备、临时工程、承包人文件和由承包人或以其名义编制的其他文件的费用承担方式：</w:t>
      </w:r>
      <w:r>
        <w:rPr>
          <w:rFonts w:ascii="宋体" w:cs="宋体" w:hint="eastAsia"/>
          <w:color w:val="auto"/>
          <w:kern w:val="0"/>
          <w:u w:val="single"/>
          <w:highlight w:val="auto"/>
        </w:rPr>
        <w:t xml:space="preserve"> 双方另行协商 </w:t>
      </w:r>
      <w:r>
        <w:rPr>
          <w:rFonts w:ascii="宋体" w:cs="宋体" w:hint="eastAsia"/>
          <w:color w:val="auto"/>
          <w:kern w:val="0"/>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17. 不可抗力</w:t>
      </w:r>
    </w:p>
    <w:p>
      <w:pPr>
        <w:pStyle w:val="359"/>
        <w:spacing w:line="360" w:lineRule="auto"/>
        <w:rPr>
          <w:rFonts w:ascii="宋体" w:cs="宋体" w:hint="eastAsia"/>
          <w:b/>
          <w:bCs/>
          <w:color w:val="auto"/>
          <w:highlight w:val="auto"/>
        </w:rPr>
      </w:pPr>
      <w:r>
        <w:rPr>
          <w:rFonts w:ascii="宋体" w:cs="宋体" w:hint="eastAsia"/>
          <w:b/>
          <w:bCs/>
          <w:color w:val="auto"/>
          <w:highlight w:val="auto"/>
        </w:rPr>
        <w:t>17.1 不可抗力的确认</w:t>
      </w:r>
    </w:p>
    <w:p>
      <w:pPr>
        <w:pStyle w:val="383"/>
        <w:spacing w:line="360" w:lineRule="auto"/>
        <w:ind w:firstLineChars="200" w:firstLine="420"/>
        <w:rPr>
          <w:rFonts w:ascii="宋体" w:cs="宋体" w:hint="eastAsia"/>
          <w:color w:val="auto"/>
          <w:kern w:val="0"/>
          <w:u w:val="single"/>
          <w:highlight w:val="auto"/>
        </w:rPr>
      </w:pPr>
      <w:r>
        <w:rPr>
          <w:rFonts w:ascii="宋体" w:cs="宋体" w:hint="eastAsia"/>
          <w:color w:val="auto"/>
          <w:highlight w:val="auto"/>
        </w:rPr>
        <w:t>除通用合同条款约定的不可抗力事件之外，视为不可抗力的其他情形：</w:t>
      </w:r>
      <w:r>
        <w:rPr>
          <w:rFonts w:ascii="宋体" w:cs="宋体" w:hint="eastAsia"/>
          <w:color w:val="auto"/>
          <w:u w:val="single"/>
          <w:highlight w:val="auto"/>
        </w:rPr>
        <w:t xml:space="preserve"> </w:t>
      </w:r>
      <w:r>
        <w:rPr>
          <w:rFonts w:ascii="宋体" w:cs="宋体" w:hint="eastAsia"/>
          <w:color w:val="auto"/>
          <w:szCs w:val="21"/>
          <w:u w:val="single"/>
          <w:highlight w:val="auto"/>
        </w:rPr>
        <w:t>（1）日降雨量大于200㎜的雨日超过 1 天；（2）6 级以上地震和 8 级以上大风（以地震局或气象部门公布为准）；（3）日气温超过 40 ℃的高温大于 3 天；（4）造成工程损坏的冰雹和大雪灾害；（5）特大的洪水灾害；（6）其他异常恶劣气候灾害。以政府有关部门发布的文告或文件为准 。</w:t>
      </w:r>
    </w:p>
    <w:p>
      <w:pPr>
        <w:pStyle w:val="359"/>
        <w:spacing w:line="360" w:lineRule="auto"/>
        <w:rPr>
          <w:rFonts w:ascii="宋体" w:cs="宋体" w:hint="eastAsia"/>
          <w:b/>
          <w:bCs/>
          <w:color w:val="auto"/>
          <w:highlight w:val="auto"/>
        </w:rPr>
      </w:pPr>
      <w:r>
        <w:rPr>
          <w:rFonts w:ascii="宋体" w:cs="宋体" w:hint="eastAsia"/>
          <w:b/>
          <w:bCs/>
          <w:color w:val="auto"/>
          <w:highlight w:val="auto"/>
        </w:rPr>
        <w:t>17.2 因不可抗力解除合同</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合同解除后，发包人应在商定或确定发包人应支付款项后</w:t>
      </w:r>
      <w:r>
        <w:rPr>
          <w:rFonts w:ascii="宋体" w:cs="宋体" w:hint="eastAsia"/>
          <w:color w:val="auto"/>
          <w:u w:val="single"/>
          <w:highlight w:val="auto"/>
        </w:rPr>
        <w:t>28天</w:t>
      </w:r>
      <w:r>
        <w:rPr>
          <w:rFonts w:ascii="宋体" w:cs="宋体" w:hint="eastAsia"/>
          <w:color w:val="auto"/>
          <w:highlight w:val="auto"/>
        </w:rPr>
        <w:t>内完成款项的支付。</w:t>
      </w:r>
    </w:p>
    <w:p>
      <w:pPr>
        <w:pStyle w:val="359"/>
        <w:spacing w:line="360" w:lineRule="auto"/>
        <w:rPr>
          <w:rFonts w:ascii="宋体" w:cs="宋体" w:hint="eastAsia"/>
          <w:b/>
          <w:bCs/>
          <w:color w:val="auto"/>
          <w:highlight w:val="auto"/>
        </w:rPr>
      </w:pPr>
      <w:r>
        <w:rPr>
          <w:rFonts w:ascii="宋体" w:cs="宋体" w:hint="eastAsia"/>
          <w:b/>
          <w:bCs/>
          <w:color w:val="auto"/>
          <w:highlight w:val="auto"/>
        </w:rPr>
        <w:t>18. 保险</w:t>
      </w:r>
    </w:p>
    <w:p>
      <w:pPr>
        <w:pStyle w:val="359"/>
        <w:spacing w:line="360" w:lineRule="auto"/>
        <w:rPr>
          <w:rFonts w:ascii="宋体" w:cs="宋体" w:hint="eastAsia"/>
          <w:b/>
          <w:bCs/>
          <w:color w:val="auto"/>
          <w:highlight w:val="auto"/>
        </w:rPr>
      </w:pPr>
      <w:r>
        <w:rPr>
          <w:rFonts w:ascii="宋体" w:cs="宋体" w:hint="eastAsia"/>
          <w:b/>
          <w:bCs/>
          <w:color w:val="auto"/>
          <w:highlight w:val="auto"/>
        </w:rPr>
        <w:t>18.1 工程保险</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关于工程保险的特别约定：</w:t>
      </w:r>
      <w:r>
        <w:rPr>
          <w:rFonts w:ascii="宋体" w:cs="宋体" w:hint="eastAsia"/>
          <w:color w:val="auto"/>
          <w:kern w:val="0"/>
          <w:u w:val="single"/>
          <w:highlight w:val="auto"/>
        </w:rPr>
        <w:t xml:space="preserve"> </w:t>
      </w:r>
      <w:r>
        <w:rPr>
          <w:rFonts w:ascii="宋体" w:cs="宋体" w:hint="eastAsia"/>
          <w:color w:val="auto"/>
          <w:szCs w:val="21"/>
          <w:u w:val="single"/>
          <w:highlight w:val="auto"/>
        </w:rPr>
        <w:t>承包人必须为施工现场管理人员和施工作业人员办理意外伤害保险，安全生产责任险</w:t>
      </w:r>
      <w:r>
        <w:rPr>
          <w:rFonts w:ascii="宋体" w:cs="宋体" w:hint="eastAsia"/>
          <w:color w:val="auto"/>
          <w:u w:val="single"/>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18.2 其他保险</w:t>
      </w:r>
    </w:p>
    <w:p>
      <w:pPr>
        <w:pStyle w:val="359"/>
        <w:spacing w:line="360" w:lineRule="auto"/>
        <w:ind w:firstLineChars="200" w:firstLine="420"/>
        <w:rPr>
          <w:rFonts w:ascii="宋体" w:cs="宋体" w:hint="eastAsia"/>
          <w:color w:val="auto"/>
          <w:u w:val="single"/>
          <w:highlight w:val="auto"/>
        </w:rPr>
      </w:pPr>
      <w:r>
        <w:rPr>
          <w:rFonts w:ascii="宋体" w:cs="宋体" w:hint="eastAsia"/>
          <w:color w:val="auto"/>
          <w:highlight w:val="auto"/>
        </w:rPr>
        <w:t>关于其他保险的约定：</w:t>
      </w:r>
      <w:r>
        <w:rPr>
          <w:rFonts w:ascii="宋体" w:cs="宋体" w:hint="eastAsia"/>
          <w:color w:val="auto"/>
          <w:szCs w:val="21"/>
          <w:u w:val="single"/>
          <w:highlight w:val="auto"/>
        </w:rPr>
        <w:t>承包人自行承担</w:t>
      </w:r>
      <w:r>
        <w:rPr>
          <w:rFonts w:ascii="宋体" w:cs="宋体" w:hint="eastAsia"/>
          <w:color w:val="auto"/>
          <w:u w:val="single"/>
          <w:highlight w:val="auto"/>
        </w:rPr>
        <w:t xml:space="preserve"> 。</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承包人是否应为其施工设备等办理财产保险：</w:t>
      </w:r>
      <w:r>
        <w:rPr>
          <w:rFonts w:ascii="宋体" w:cs="宋体" w:hint="eastAsia"/>
          <w:color w:val="auto"/>
          <w:u w:val="single"/>
          <w:highlight w:val="auto"/>
        </w:rPr>
        <w:t xml:space="preserve"> </w:t>
      </w:r>
      <w:r>
        <w:rPr>
          <w:rFonts w:ascii="宋体" w:cs="宋体" w:hint="eastAsia"/>
          <w:color w:val="auto"/>
          <w:szCs w:val="21"/>
          <w:u w:val="single"/>
          <w:highlight w:val="auto"/>
        </w:rPr>
        <w:t>按《通用合同条款》执行</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18.3 通知义务</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关于变更保险合同时的通知义务的约定：</w:t>
      </w:r>
      <w:r>
        <w:rPr>
          <w:rFonts w:ascii="宋体" w:cs="宋体" w:hint="eastAsia"/>
          <w:color w:val="auto"/>
          <w:u w:val="single"/>
          <w:highlight w:val="auto"/>
        </w:rPr>
        <w:t xml:space="preserve"> </w:t>
      </w:r>
      <w:r>
        <w:rPr>
          <w:rFonts w:ascii="宋体" w:cs="宋体" w:hint="eastAsia"/>
          <w:color w:val="auto"/>
          <w:szCs w:val="21"/>
          <w:u w:val="single"/>
          <w:highlight w:val="auto"/>
        </w:rPr>
        <w:t>变更之日起 3 天内</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highlight w:val="auto"/>
        </w:rPr>
      </w:pPr>
      <w:r>
        <w:rPr>
          <w:rFonts w:ascii="宋体" w:cs="宋体" w:hint="eastAsia"/>
          <w:b/>
          <w:bCs/>
          <w:color w:val="auto"/>
          <w:highlight w:val="auto"/>
        </w:rPr>
        <w:t>19. 争议解决</w:t>
      </w:r>
    </w:p>
    <w:p>
      <w:pPr>
        <w:pStyle w:val="359"/>
        <w:spacing w:line="360" w:lineRule="auto"/>
        <w:rPr>
          <w:rFonts w:ascii="宋体" w:cs="宋体" w:hint="eastAsia"/>
          <w:b/>
          <w:bCs/>
          <w:color w:val="auto"/>
          <w:highlight w:val="auto"/>
        </w:rPr>
      </w:pPr>
      <w:r>
        <w:rPr>
          <w:rFonts w:ascii="宋体" w:cs="宋体" w:hint="eastAsia"/>
          <w:b/>
          <w:bCs/>
          <w:color w:val="auto"/>
          <w:highlight w:val="auto"/>
        </w:rPr>
        <w:t>19. 1争议评审</w:t>
      </w:r>
    </w:p>
    <w:p>
      <w:pPr>
        <w:pStyle w:val="101"/>
        <w:spacing w:line="360" w:lineRule="auto"/>
        <w:ind w:leftChars="71" w:left="149" w:firstLineChars="150" w:firstLine="315"/>
        <w:jc w:val="left"/>
        <w:rPr>
          <w:rFonts w:ascii="宋体" w:cs="宋体" w:hint="eastAsia"/>
          <w:color w:val="auto"/>
          <w:u w:val="single"/>
          <w:highlight w:val="auto"/>
        </w:rPr>
      </w:pPr>
      <w:r>
        <w:rPr>
          <w:rFonts w:ascii="宋体" w:cs="宋体" w:hint="eastAsia"/>
          <w:color w:val="auto"/>
          <w:highlight w:val="auto"/>
        </w:rPr>
        <w:t>合同当事人是否同意将工程争议提交争议评审小组决定：</w:t>
      </w:r>
      <w:r>
        <w:rPr>
          <w:rFonts w:ascii="宋体" w:cs="宋体" w:hint="eastAsia"/>
          <w:color w:val="auto"/>
          <w:szCs w:val="21"/>
          <w:u w:val="single"/>
          <w:highlight w:val="auto"/>
        </w:rPr>
        <w:t>不同意</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19.1.1 争议评审小组的确定</w:t>
      </w:r>
    </w:p>
    <w:p>
      <w:pPr>
        <w:pStyle w:val="101"/>
        <w:spacing w:line="360" w:lineRule="auto"/>
        <w:ind w:firstLineChars="200" w:firstLine="420"/>
        <w:jc w:val="left"/>
        <w:rPr>
          <w:rFonts w:ascii="宋体" w:cs="宋体" w:hint="eastAsia"/>
          <w:color w:val="auto"/>
          <w:u w:val="single"/>
          <w:highlight w:val="auto"/>
        </w:rPr>
      </w:pPr>
      <w:r>
        <w:rPr>
          <w:rFonts w:ascii="宋体" w:cs="宋体" w:hint="eastAsia"/>
          <w:color w:val="auto"/>
          <w:highlight w:val="auto"/>
        </w:rPr>
        <w:t>争议评审小组成员的确定：</w:t>
      </w:r>
      <w:r>
        <w:rPr>
          <w:rFonts w:ascii="宋体" w:cs="宋体" w:hint="eastAsia"/>
          <w:color w:val="auto"/>
          <w:u w:val="single"/>
          <w:highlight w:val="auto"/>
        </w:rPr>
        <w:t xml:space="preserve"> </w:t>
      </w:r>
      <w:r>
        <w:rPr>
          <w:rFonts w:ascii="宋体" w:cs="宋体" w:hint="eastAsia"/>
          <w:color w:val="auto"/>
          <w:szCs w:val="21"/>
          <w:u w:val="single"/>
          <w:highlight w:val="auto"/>
        </w:rPr>
        <w:t>无</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选定争议评审员的期限：</w:t>
      </w:r>
      <w:r>
        <w:rPr>
          <w:rFonts w:ascii="宋体" w:cs="宋体" w:hint="eastAsia"/>
          <w:color w:val="auto"/>
          <w:u w:val="single"/>
          <w:highlight w:val="auto"/>
        </w:rPr>
        <w:t xml:space="preserve"> </w:t>
      </w:r>
      <w:r>
        <w:rPr>
          <w:rFonts w:ascii="宋体" w:cs="宋体" w:hint="eastAsia"/>
          <w:color w:val="auto"/>
          <w:szCs w:val="21"/>
          <w:u w:val="single"/>
          <w:highlight w:val="auto"/>
        </w:rPr>
        <w:t>无</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争议评审小组成员的报酬承担方式：</w:t>
      </w:r>
      <w:r>
        <w:rPr>
          <w:rFonts w:ascii="宋体" w:cs="宋体" w:hint="eastAsia"/>
          <w:color w:val="auto"/>
          <w:u w:val="single"/>
          <w:highlight w:val="auto"/>
        </w:rPr>
        <w:t xml:space="preserve"> </w:t>
      </w:r>
      <w:r>
        <w:rPr>
          <w:rFonts w:ascii="宋体" w:cs="宋体" w:hint="eastAsia"/>
          <w:color w:val="auto"/>
          <w:szCs w:val="21"/>
          <w:u w:val="single"/>
          <w:highlight w:val="auto"/>
        </w:rPr>
        <w:t>无</w:t>
      </w:r>
      <w:r>
        <w:rPr>
          <w:rFonts w:ascii="宋体" w:cs="宋体" w:hint="eastAsia"/>
          <w:color w:val="auto"/>
          <w:u w:val="single"/>
          <w:highlight w:val="auto"/>
        </w:rPr>
        <w:t xml:space="preserve">  </w:t>
      </w:r>
      <w:r>
        <w:rPr>
          <w:rFonts w:ascii="宋体" w:cs="宋体" w:hint="eastAsia"/>
          <w:color w:val="auto"/>
          <w:highlight w:val="auto"/>
        </w:rPr>
        <w:t>。</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其他事项的约定：</w:t>
      </w:r>
      <w:r>
        <w:rPr>
          <w:rFonts w:ascii="宋体" w:cs="宋体" w:hint="eastAsia"/>
          <w:color w:val="auto"/>
          <w:u w:val="single"/>
          <w:highlight w:val="auto"/>
        </w:rPr>
        <w:t xml:space="preserve">    /     </w:t>
      </w:r>
      <w:r>
        <w:rPr>
          <w:rFonts w:ascii="宋体" w:cs="宋体" w:hint="eastAsia"/>
          <w:color w:val="auto"/>
          <w:highlight w:val="auto"/>
        </w:rPr>
        <w:t>。</w:t>
      </w:r>
    </w:p>
    <w:p>
      <w:pPr>
        <w:pStyle w:val="359"/>
        <w:spacing w:line="360" w:lineRule="auto"/>
        <w:ind w:firstLineChars="200" w:firstLine="420"/>
        <w:rPr>
          <w:rFonts w:ascii="宋体" w:cs="宋体" w:hint="eastAsia"/>
          <w:color w:val="auto"/>
          <w:kern w:val="0"/>
          <w:highlight w:val="auto"/>
        </w:rPr>
      </w:pPr>
      <w:r>
        <w:rPr>
          <w:rFonts w:ascii="宋体" w:cs="宋体" w:hint="eastAsia"/>
          <w:color w:val="auto"/>
          <w:kern w:val="0"/>
          <w:highlight w:val="auto"/>
        </w:rPr>
        <w:t>19.1.2争议评审小组的决定</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合同当事人关于本项的约定：</w:t>
      </w:r>
      <w:r>
        <w:rPr>
          <w:rFonts w:ascii="宋体" w:cs="宋体" w:hint="eastAsia"/>
          <w:color w:val="auto"/>
          <w:u w:val="single"/>
          <w:highlight w:val="auto"/>
        </w:rPr>
        <w:t xml:space="preserve">  </w:t>
      </w:r>
      <w:r>
        <w:rPr>
          <w:rFonts w:ascii="宋体" w:cs="宋体" w:hint="eastAsia"/>
          <w:color w:val="auto"/>
          <w:szCs w:val="21"/>
          <w:u w:val="single"/>
          <w:highlight w:val="auto"/>
        </w:rPr>
        <w:t xml:space="preserve">待定 </w:t>
      </w:r>
      <w:r>
        <w:rPr>
          <w:rFonts w:ascii="宋体" w:cs="宋体" w:hint="eastAsia"/>
          <w:color w:val="auto"/>
          <w:u w:val="single"/>
          <w:highlight w:val="auto"/>
        </w:rPr>
        <w:t xml:space="preserve">  </w:t>
      </w:r>
      <w:r>
        <w:rPr>
          <w:rFonts w:ascii="宋体" w:cs="宋体" w:hint="eastAsia"/>
          <w:color w:val="auto"/>
          <w:highlight w:val="auto"/>
        </w:rPr>
        <w:t>。</w:t>
      </w:r>
    </w:p>
    <w:p>
      <w:pPr>
        <w:pStyle w:val="359"/>
        <w:spacing w:line="360" w:lineRule="auto"/>
        <w:rPr>
          <w:rFonts w:ascii="宋体" w:cs="宋体" w:hint="eastAsia"/>
          <w:b/>
          <w:bCs/>
          <w:color w:val="auto"/>
          <w:sz w:val="24"/>
          <w:highlight w:val="auto"/>
        </w:rPr>
      </w:pPr>
      <w:r>
        <w:rPr>
          <w:rFonts w:ascii="宋体" w:cs="宋体" w:hint="eastAsia"/>
          <w:b/>
          <w:bCs/>
          <w:color w:val="auto"/>
          <w:sz w:val="24"/>
          <w:highlight w:val="auto"/>
        </w:rPr>
        <w:t>19.2 仲裁或诉讼</w:t>
      </w:r>
    </w:p>
    <w:p>
      <w:pPr>
        <w:pStyle w:val="101"/>
        <w:spacing w:line="360" w:lineRule="auto"/>
        <w:ind w:firstLineChars="200" w:firstLine="420"/>
        <w:rPr>
          <w:rFonts w:ascii="宋体" w:cs="宋体" w:hint="eastAsia"/>
          <w:color w:val="auto"/>
          <w:highlight w:val="auto"/>
        </w:rPr>
      </w:pPr>
      <w:r>
        <w:rPr>
          <w:rFonts w:ascii="宋体" w:cs="宋体" w:hint="eastAsia"/>
          <w:color w:val="auto"/>
          <w:highlight w:val="auto"/>
        </w:rPr>
        <w:t>因合同及合同有关事项发生的争议，按下列第</w:t>
      </w:r>
      <w:r>
        <w:rPr>
          <w:rFonts w:ascii="宋体" w:cs="宋体" w:hint="eastAsia"/>
          <w:color w:val="auto"/>
          <w:u w:val="single"/>
          <w:highlight w:val="auto"/>
        </w:rPr>
        <w:t xml:space="preserve">  2   </w:t>
      </w:r>
      <w:r>
        <w:rPr>
          <w:rFonts w:ascii="宋体" w:cs="宋体" w:hint="eastAsia"/>
          <w:color w:val="auto"/>
          <w:highlight w:val="auto"/>
        </w:rPr>
        <w:t>种方式解决：</w:t>
      </w:r>
    </w:p>
    <w:p>
      <w:pPr>
        <w:pStyle w:val="101"/>
        <w:spacing w:line="360" w:lineRule="auto"/>
        <w:ind w:firstLineChars="200" w:firstLine="420"/>
        <w:jc w:val="left"/>
        <w:rPr>
          <w:rFonts w:ascii="宋体" w:cs="宋体" w:hint="eastAsia"/>
          <w:color w:val="auto"/>
          <w:highlight w:val="auto"/>
        </w:rPr>
      </w:pPr>
      <w:r>
        <w:rPr>
          <w:rFonts w:ascii="宋体" w:cs="宋体" w:hint="eastAsia"/>
          <w:color w:val="auto"/>
          <w:highlight w:val="auto"/>
        </w:rPr>
        <w:t>（1）提请</w:t>
      </w:r>
      <w:r>
        <w:rPr>
          <w:rFonts w:ascii="宋体" w:cs="宋体" w:hint="eastAsia"/>
          <w:color w:val="auto"/>
          <w:u w:val="single"/>
          <w:lang w:val="en-US" w:eastAsia="zh-CN"/>
          <w:highlight w:val="auto"/>
        </w:rPr>
        <w:t>崇左</w:t>
      </w:r>
      <w:r>
        <w:rPr>
          <w:rFonts w:ascii="宋体" w:cs="宋体" w:hint="eastAsia"/>
          <w:color w:val="auto"/>
          <w:u w:val="single"/>
          <w:highlight w:val="auto"/>
        </w:rPr>
        <w:t>市</w:t>
      </w:r>
      <w:r>
        <w:rPr>
          <w:rFonts w:ascii="宋体" w:cs="宋体" w:hint="eastAsia"/>
          <w:color w:val="auto"/>
          <w:highlight w:val="auto"/>
        </w:rPr>
        <w:t>仲裁委员会按照该会仲裁规则进行仲裁，仲裁裁决是终局的，对合同双方均有约束力。</w:t>
      </w:r>
    </w:p>
    <w:p>
      <w:pPr>
        <w:pStyle w:val="359"/>
        <w:spacing w:line="360" w:lineRule="auto"/>
        <w:ind w:firstLineChars="200" w:firstLine="420"/>
        <w:rPr>
          <w:rFonts w:ascii="宋体" w:cs="宋体" w:hint="eastAsia"/>
          <w:color w:val="auto"/>
          <w:highlight w:val="auto"/>
        </w:rPr>
      </w:pPr>
      <w:r>
        <w:rPr>
          <w:rFonts w:ascii="宋体" w:cs="宋体" w:hint="eastAsia"/>
          <w:color w:val="auto"/>
          <w:highlight w:val="auto"/>
        </w:rPr>
        <w:t>（2）向</w:t>
      </w:r>
      <w:r>
        <w:rPr>
          <w:rFonts w:ascii="宋体" w:cs="宋体" w:hint="eastAsia"/>
          <w:color w:val="auto"/>
          <w:u w:val="single"/>
          <w:highlight w:val="auto"/>
        </w:rPr>
        <w:t>项目所在地</w:t>
      </w:r>
      <w:r>
        <w:rPr>
          <w:rFonts w:ascii="宋体" w:cs="宋体" w:hint="eastAsia"/>
          <w:color w:val="auto"/>
          <w:highlight w:val="auto"/>
        </w:rPr>
        <w:t>人民法院起诉。</w:t>
      </w:r>
    </w:p>
    <w:p>
      <w:pPr>
        <w:pStyle w:val="359"/>
        <w:spacing w:line="360" w:lineRule="auto"/>
        <w:rPr>
          <w:rFonts w:ascii="宋体" w:cs="宋体" w:hint="eastAsia"/>
          <w:b/>
          <w:bCs/>
          <w:color w:val="auto"/>
          <w:sz w:val="24"/>
          <w:highlight w:val="auto"/>
        </w:rPr>
      </w:pPr>
      <w:r>
        <w:rPr>
          <w:rFonts w:ascii="宋体" w:cs="宋体" w:hint="eastAsia"/>
          <w:b/>
          <w:bCs/>
          <w:color w:val="auto"/>
          <w:sz w:val="24"/>
          <w:highlight w:val="auto"/>
        </w:rPr>
        <w:t>20. 补充条款</w:t>
      </w:r>
    </w:p>
    <w:p>
      <w:pPr>
        <w:pStyle w:val="101"/>
        <w:spacing w:line="360" w:lineRule="auto"/>
        <w:ind w:firstLineChars="200" w:firstLine="420"/>
        <w:rPr>
          <w:rStyle w:val="10"/>
          <w:rFonts w:ascii="宋体" w:eastAsia="宋体" w:cs="Times New Roman" w:hint="eastAsia"/>
          <w:color w:val="auto"/>
          <w:szCs w:val="21"/>
          <w:highlight w:val="auto"/>
        </w:rPr>
      </w:pPr>
      <w:r>
        <w:rPr>
          <w:rStyle w:val="10"/>
          <w:rFonts w:ascii="宋体" w:eastAsia="宋体" w:cs="Times New Roman" w:hint="eastAsia"/>
          <w:color w:val="auto"/>
          <w:highlight w:val="auto"/>
        </w:rPr>
        <w:t>20.1 禁止使用童工。</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20.2 承包人如果在项目施工工作中需另使用项目经理部印章的，需出具法定授权委托书，对受托人、范围、时间、权限作出明确约定并承担法律责任。</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20.3 招标人要求承包人对另行单独发包的电梯、智能、空调、高低压配电设备安装等专业工程进行总承包管理和协调，并同时要求提供配合服务时，配合费在国家收费标准基础上由</w:t>
      </w:r>
      <w:r>
        <w:rPr>
          <w:rStyle w:val="10"/>
          <w:rFonts w:ascii="宋体" w:eastAsia="宋体" w:cs="Times New Roman" w:hint="eastAsia"/>
          <w:color w:val="auto"/>
          <w:lang w:eastAsia="zh-CN"/>
          <w:highlight w:val="auto"/>
        </w:rPr>
        <w:t>承包人</w:t>
      </w:r>
      <w:r>
        <w:rPr>
          <w:rStyle w:val="10"/>
          <w:rFonts w:ascii="宋体" w:eastAsia="宋体" w:cs="Times New Roman" w:hint="eastAsia"/>
          <w:color w:val="auto"/>
          <w:highlight w:val="auto"/>
        </w:rPr>
        <w:t>与设备供应商协商。</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20.4 本合同未约定其他事项，双方可签订补充协议。补充协议与本合同具有同等法律效力。</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20.5 承包人必须在签订施工合同后 10 个工作日内，按发包人办理施工许可证所需的材料清单，提供齐全应由承包人提供的材料。如延误一天，承包人须向发包人支付 1000 元/天的违约金，违约金可由发包人从工程款中扣除。（如需要办理施工许可证时）</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 工程质量要求</w:t>
      </w:r>
    </w:p>
    <w:p>
      <w:pPr>
        <w:pStyle w:val="101"/>
        <w:spacing w:line="360" w:lineRule="auto"/>
        <w:ind w:firstLineChars="200" w:firstLine="420"/>
        <w:rPr>
          <w:rFonts w:ascii="仿宋_GB2312" w:eastAsia="仿宋_GB2312"/>
          <w:sz w:val="28"/>
          <w:szCs w:val="28"/>
        </w:rPr>
      </w:pPr>
      <w:r>
        <w:rPr>
          <w:rStyle w:val="10"/>
          <w:rFonts w:ascii="宋体" w:eastAsia="宋体" w:cs="Times New Roman" w:hint="eastAsia"/>
          <w:color w:val="auto"/>
          <w:highlight w:val="auto"/>
        </w:rPr>
        <w:t>20.6.1 监理工程师每月组织有关部门进行一次全面的检查考核，对评定达到优良的给予奖励（主要以精神奖励为主），对达不到要求的给予警告、通报及必要的经济处罚。</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20.6.2 对出现不合格工程或严重违反施工规范，造成质量事故或工程质量隐患的，监理工程师或发包方对承包人提出警告，并处以违约金 10000 元/次，从当次计量支付中相应扣除。</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20.6.3 对连续出现不合格工程或出现不合格工程补救措施已不能满足质量管理目标时，除拆除重建外，监理工程师或发包方对承包人处以违约金 50000 元/次，从当次计量支付中相应扣除，且行文通报处理，并上报有关部门备案。</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20.6.4 如被通报两次则视为承包人违约，发包方和监理工程师可视具体情况指令承包人整改，一个月内无法扭转现状且无有效改善措施的，可更换项目经理和强制分割，直至解除合同。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20.6.5 承包人必须制定总体质量目标，并对总体质量目标进行分解、细化，层层分解到各分部和分项质量目标。根据各分部、分项的质量目标制定达到质量目标的各种具体施工方案、交底和措施。每月月底组织项目质量领导小组人员对当月各分项工程的质量目标、施工方案、技术交底、质量保证措施的落实情况进行总结、评价。对未达到目标的情况，进行原因分析，制定整改办法，责成专人负责整改办法的落实、检查。承包人未按要求制定质量目标、目标未进行分解及未按时对质量进行分析的，承包人须支付违约金 1000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20.6.6 承包人必须建立完善的质量岗位责任制，在项目开工前，制定项目质量岗位责任制度，明确领导班子成员的责任，确定每个部门的职责，最后落实到项目每个管理人员，并签订相应的质量岗位责任状，形成一个由项目经理为主要责任人、项目总工和现场经理领导监控、 各职能部门执行监督、分包队伍严格实施的网络化的项目组织体系。承包人未按要求制定质量岗位责任及责任不明确的，须支付违约金 1000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20.6.7 承包人必须建立健全的质量检查、申报、签认制度，制定质量检查流程。项目工序完成后，操作人员进行“自检、互检”合格后，由项目总工程师组织进行检验，关键工序和特殊工序检验应由项目总工程师先进行检验，合格后，提前 8 小时通知监理工程师、设计院共同进行检验，并进行签认。需进行隐蔽验收的项目完工后应立即组织验收，各项记录和图示必须经发包方、监理单位等有关单位签字盖章，并有结论性意见。对检验批、分项、分部、单位工程的质量验收缺申报或自查、自验程序及不经发包方或监理验收合格同意下道工序施工而擅自进行下道工序施工的，承包人须缴纳违约金 5000 元/次，各级检查权限、内容、职责不明，申报不及时，制度不落实的发包方有权处违约金 2000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20.6.8 在每一分部分项工程开工前，承包人要对所有的施工管理人员、施工劳务人员进行必要的培训和书面施工技术交底及现场交底。技术交底要分级分阶段进行。关键的岗位必须持有效的上岗证书才能上岗。承包人未按要求进行培训和技术交底或交底不真实、不具体、不全面的，承包人须缴纳违约金 1000 元/次。</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20.6.9 承包人必须按照经审批的施工组织设计（施工方案、进度计划）组织施工，人员、机械设备、材料等必须按计划进场且须满足施工进度要求；承包人在每月25日向发包人提交的下月进度计划中，包含施工人力（详细列出工种及其人数）、主要施工机具资源计划一览表，配置数量应满足施工进度要求；若承包人未按以上要求执行，导致实际施工进度落后于计划进度的，造成的工期延误责任由承包人承担。承包人将计划内的施工人员、机械设备安排进场后，在未取得发包人现场代表书面同意的情况下不得以任何理由擅自退场，否则承包人须向发包人支付10000元/台设备、2000元/人的违约金。</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20.7 工程款的使用</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20.7.1 承包人在施工期间必须保证资金的专项使用，不得挪作他用，并自觉接受业主和银行的监督，否则将视为承包人违约。</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 安全生产及文明施工</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 发包方职责</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20.8.1.1 按照“安全第一、预防为主”和坚持“管生产必须管安全”的原则进行安全生产管理，做到生产与安全工作同时计划、布置、检查、总结和评比。</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20.8.1.2 重要的安全设施必须坚持与主体工程“三同时”的原则，即：同时设计、审批， 同时施工，同时验收，投入使用。</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20.8.1.3 定期召开安全生产调度会，及时传达中央及地方有关安全生产的精神。</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20.8.1.4 组织对承包人施工现场安全、文明施工进行检查，提出整改要求，监督承包人及时处理发现的各种安全隐患。必须时，责令承包人停工整改和给予经济处罚。</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20.8.1.5 建设单位不得明示或者暗示施工单位购买、租赁、使用不符合安全施工要求的安全防护用具、机械设备、施工机具及配件、消防设施和器材。</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 承包人职责</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 严格遵守国家有关安全生产的法律法规、交通部颁发的有关安全生产的规定，认</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真执行工程承包合同中的有关安全要求。</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20.8.2.2 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 生产管理人员和具体操作人员，必须熟悉和遵守本条款的各项规定，做到生产与安全工作同时计划、布置、检查、总结和评比。</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20.8.2.3 建立健全安全生产责任制。从派往项目实施的项目经理到生产工作（包括临时雇请的民工）的安全生产管理系统必须做到纵向到底，一环不漏；各职能部门、人员的安全生产责任制做到横向到边，人人有责。项目经理是安全生产的第一责任人。现场设置的安全机构，应按规定配备专职安全员，专职负责所有员工的安全和治安保卫工作及预防事故的发生。安全机构人员，有权按有关规定发布指令，并采取保护性措施防止事故发生。</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20.8.2.4 承包人须严格执行现行的有关安全生产管理法律法规，现场安全生产管理须符合建设工程安全管理标准及规范要求。</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20.8.2.5 承包人在任何时候都应采取各种合理的预防措施，防止其员工发生任何违法、违禁、暴力或妨碍治安的行为。</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20.8.2.6 承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培训，获得《安全操作合格证》后，方准持证上岗。施工现场如出现特种作业无证操作现象时，项目经理必须承担管理责任。（如有）</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20.8.2.7 对于易燃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20.8.2.8 操作人员上岗，必须按规定穿戴防护产品。施工负责人和安全检查员应随时检查劳动防护用品的穿戴情况，不按规定穿戴防护用品的人员不得上岗。</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20.8.2.9 所有施工机具设备和高空作业的设备均应定期检查，并有安全员的签字记录，保证其经常处于完好状态；不合格的机具、设备和劳动保护用品严禁使用。</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20.8.2.10 施工中采用新技术、新工艺、新设备、新材料时，必须制定相应的安全技术措施，施工现场必须具有相关的安全标志牌。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20.8.2.11 承包人必须按照本工程项目特点，组织制定本工程实施中的生产安全事故应急预案；凡发生任何安全生产事故，承包人都要上报业主和相应主管部门。如果发生安全生产事故，应按照《国务院关于特大安全事故行政责任追究的规定》以及其它有关规定，及时上报有关部门，并积极配合有关部门按“四不放过”的原则，严肃处理相关责任人。</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20.8.2.12 位于市区主要街道和城市进出口路段临街面的建筑施工工地，建立 2 米高的围墙并粉刷写上工地名称或标语；位于其他路段的工地周边设置围栏或明确标志与非施工区域隔离；</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20.8.2.13 未经城建主管部门批准，不占用城市道路、人行道进行施工作业或堆放施工机具和材料；</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20.8.2.14 不向街道（含人行道）上排放污水、不在围墙外堆放施工材料、预制构件、施工碴土，搞好工地和住地环境卫生，做到工地门前“二包”；</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20.8.2.15 临街面多层及高层建筑物设置全封闭安全防护设施，封闭美观、牢固，居民密集应设安全通道；</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20.8.2.16 严格遵守《工贸企业有限空间作业安全管理与监督暂行规定》国家安全生产监督管理总局令（第 59 号），如若该文件有更新，则按新文件执行；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20.8.2.17 承包人必须严格执行发布人现场代表和总监理工程师的指令，如承包人对发出指令存有异议的，应立即向发包人现场代表、总监理工程师提出，但不得拒绝执行或消极执行，否则发包人将对承包人处以50000元/次的处罚。</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20.8.2.18 在发包人向承包人提供全套施工图纸后30天内，承包人向发包人提交全套施工图纸的工程量造价计算成果文件（含工程量计算文件电子版、预算文件的书面版及电子版一式两份）。若承包人逾期15天未提交完整的工程量造价计算成果文件的，每超过一天，承包人自愿向发包人支付5000元的违约金（双方有争议问题而无法商定解决的情况除外），并在当期工程进度款及结算中扣除，同时发包人暂停支付工程进度款，直到承包人提交方可恢复支付进度款，由此引起的一切后果、损失由承包人承担。</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20.8.2.19 发包人移交的水准点与坐标控制点，承包人有义务现场复核水准点与坐标控制点的准确性，如因承包人未履行复核义务的，一切后果均由承包人承担。</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20.8.2.20 承包人施工现场须做封闭式管理，施工现场的管理人员、施工人员必须佩戴证明身份的证卡进出，非施工人员不得擅自进入施工现场，同时承包人需对各分包进行相同封闭式管理，由承包人给各分包方管理人员及施工人员办理相关证卡，证卡由施工单位拟定内容及形式，交由发包人审定批准后实施。</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20.8.2.21 发包人按期对承包人进行月度检查，在月度检查工作中发现的需整改问题，承包人在接到书面整改通知后须无条件在约定时间内按要求整改完毕，月整改及时率及完成率要求达到98%以上。若承包人月整改及时率及完成率达不到98%，视为承包人违约，同时处承包人2000-10000元/次罚款。</w:t>
      </w:r>
    </w:p>
    <w:p>
      <w:pPr>
        <w:pStyle w:val="101"/>
        <w:spacing w:line="360" w:lineRule="auto"/>
        <w:ind w:firstLineChars="200" w:firstLine="420"/>
        <w:rPr>
          <w:rStyle w:val="10"/>
          <w:rFonts w:ascii="宋体" w:eastAsia="宋体" w:cs="Times New Roman" w:hint="eastAsia"/>
          <w:color w:val="auto"/>
          <w:highlight w:val="auto"/>
        </w:rPr>
      </w:pPr>
      <w:r>
        <w:rPr>
          <w:rStyle w:val="384"/>
          <w:rFonts w:ascii="宋体" w:eastAsia="宋体" w:hint="eastAsia"/>
          <w:color w:val="auto"/>
          <w:highlight w:val="auto"/>
        </w:rPr>
        <w:t>20.8.2.22 承包人报送的预结算造价应控制在允许的偏差范围内，报送造价与核对审定后的造价允许偏差率为±12%；如承包人报送造价偏差率超出允许偏差率，则承包人需承担所有中介核对费用，中介核对费用以实际发生为准，在承包人的工程款中扣除。</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20.9 终止合同</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如果出于公益需要，发包方可在承包人没有任何过错的情况下结束合同，条件是在必要时可向承包人赔偿。</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20.10 工程清点</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特别是在第 21.9、21.10 条中所指的情况下，由发包方确定检查现场的时间，清点已完成的工程，清点承包人运到现场的机械、设备、材料。发包方至少在 7 天之前用挂号函件将已确定的时间告诉承包人，让其参与清点并签署纪要。承包人或其代表在规定的时间缺席，则发包方可在承包人缺席的情况下进行清点，且视为承包人认可清点的全部数据，并记入清点纪要，发包方代表在纪要上签字，将该纪要用挂号函件寄一份给承包人，以此作为结算依据。</w:t>
      </w:r>
    </w:p>
    <w:p>
      <w:pPr>
        <w:pStyle w:val="101"/>
        <w:spacing w:line="360" w:lineRule="auto"/>
        <w:ind w:firstLineChars="200" w:firstLine="420"/>
        <w:rPr>
          <w:rStyle w:val="10"/>
          <w:rFonts w:ascii="宋体" w:eastAsia="宋体" w:cs="Times New Roman" w:hint="eastAsia"/>
          <w:color w:val="auto"/>
          <w:highlight w:val="auto"/>
        </w:rPr>
      </w:pPr>
      <w:r>
        <w:rPr>
          <w:rStyle w:val="10"/>
          <w:rFonts w:ascii="宋体" w:eastAsia="宋体" w:cs="Times New Roman" w:hint="eastAsia"/>
          <w:color w:val="auto"/>
          <w:highlight w:val="auto"/>
        </w:rPr>
        <w:t>本条规定的工程量计算和清点费由承包人负担。在因执行法令而结束合同的情况下，本条 款有效。</w:t>
      </w:r>
    </w:p>
    <w:p>
      <w:pPr>
        <w:pStyle w:val="359"/>
        <w:spacing w:line="360" w:lineRule="auto"/>
        <w:rPr>
          <w:rFonts w:ascii="宋体" w:cs="宋体" w:hint="eastAsia"/>
          <w:color w:val="auto"/>
          <w:highlight w:val="auto"/>
        </w:rPr>
      </w:pPr>
    </w:p>
    <w:p>
      <w:pPr>
        <w:pStyle w:val="359"/>
        <w:spacing w:line="360" w:lineRule="auto"/>
        <w:jc w:val="center"/>
        <w:rPr>
          <w:rFonts w:ascii="宋体" w:cs="宋体" w:hint="eastAsia"/>
          <w:b/>
          <w:color w:val="auto"/>
          <w:sz w:val="32"/>
          <w:szCs w:val="32"/>
          <w:highlight w:val="auto"/>
        </w:rPr>
      </w:pPr>
      <w:bookmarkStart w:id="105" w:name="_Toc351203652"/>
      <w:bookmarkEnd w:id="105"/>
      <w:r>
        <w:rPr>
          <w:rFonts w:ascii="宋体" w:cs="宋体" w:hint="eastAsia"/>
          <w:b/>
          <w:color w:val="auto"/>
          <w:highlight w:val="auto"/>
        </w:rPr>
        <w:br w:type="page"/>
      </w:r>
      <w:r>
        <w:rPr>
          <w:rFonts w:ascii="宋体" w:cs="宋体" w:hint="eastAsia"/>
          <w:b/>
          <w:bCs/>
          <w:color w:val="auto"/>
          <w:sz w:val="32"/>
          <w:szCs w:val="32"/>
          <w:highlight w:val="auto"/>
        </w:rPr>
        <w:t>第四部分：附件</w:t>
      </w:r>
    </w:p>
    <w:p>
      <w:pPr>
        <w:pStyle w:val="101"/>
        <w:spacing w:line="360" w:lineRule="auto"/>
        <w:jc w:val="left"/>
        <w:rPr>
          <w:rFonts w:ascii="宋体" w:cs="宋体" w:hint="eastAsia"/>
          <w:color w:val="auto"/>
          <w:highlight w:val="auto"/>
        </w:rPr>
      </w:pPr>
      <w:r>
        <w:rPr>
          <w:rFonts w:ascii="宋体" w:cs="宋体" w:hint="eastAsia"/>
          <w:color w:val="auto"/>
          <w:highlight w:val="auto"/>
        </w:rPr>
        <w:t>附件1：工程质量保修书</w:t>
      </w:r>
    </w:p>
    <w:p>
      <w:pPr>
        <w:pStyle w:val="101"/>
        <w:spacing w:line="360" w:lineRule="auto"/>
        <w:jc w:val="left"/>
        <w:rPr>
          <w:rFonts w:ascii="宋体" w:cs="宋体" w:hint="eastAsia"/>
          <w:color w:val="auto"/>
          <w:highlight w:val="auto"/>
        </w:rPr>
      </w:pPr>
      <w:r>
        <w:rPr>
          <w:rFonts w:ascii="宋体" w:cs="宋体" w:hint="eastAsia"/>
          <w:color w:val="auto"/>
          <w:highlight w:val="auto"/>
        </w:rPr>
        <w:t>附件2：承包人用于本工程施工的机械设备表</w:t>
      </w:r>
    </w:p>
    <w:p>
      <w:pPr>
        <w:pStyle w:val="101"/>
        <w:spacing w:line="360" w:lineRule="auto"/>
        <w:jc w:val="left"/>
        <w:rPr>
          <w:rFonts w:ascii="宋体" w:cs="宋体" w:hint="eastAsia"/>
          <w:color w:val="auto"/>
          <w:highlight w:val="auto"/>
        </w:rPr>
      </w:pPr>
      <w:r>
        <w:rPr>
          <w:rFonts w:ascii="宋体" w:cs="宋体" w:hint="eastAsia"/>
          <w:color w:val="auto"/>
          <w:highlight w:val="auto"/>
        </w:rPr>
        <w:t>附件3：承包人主要施工管理人员表</w:t>
      </w:r>
    </w:p>
    <w:p>
      <w:pPr>
        <w:pStyle w:val="101"/>
        <w:spacing w:line="360" w:lineRule="auto"/>
        <w:jc w:val="left"/>
        <w:rPr>
          <w:rFonts w:ascii="宋体" w:eastAsia="宋体" w:cs="宋体"/>
          <w:color w:val="auto"/>
          <w:lang w:val="en-US" w:eastAsia="zh-CN"/>
          <w:highlight w:val="auto"/>
        </w:rPr>
      </w:pPr>
      <w:r>
        <w:rPr>
          <w:rFonts w:ascii="宋体" w:cs="宋体" w:hint="eastAsia"/>
          <w:color w:val="auto"/>
          <w:lang w:eastAsia="zh-CN"/>
          <w:highlight w:val="auto"/>
        </w:rPr>
        <w:t>附件</w:t>
      </w:r>
      <w:r>
        <w:rPr>
          <w:rFonts w:ascii="宋体" w:cs="宋体" w:hint="eastAsia"/>
          <w:color w:val="auto"/>
          <w:lang w:val="en-US" w:eastAsia="zh-CN"/>
          <w:highlight w:val="auto"/>
        </w:rPr>
        <w:t>4：分包人主要施工管理人员表</w:t>
      </w:r>
    </w:p>
    <w:p>
      <w:pPr>
        <w:pStyle w:val="101"/>
        <w:spacing w:line="360" w:lineRule="auto"/>
        <w:jc w:val="left"/>
        <w:rPr>
          <w:rFonts w:ascii="宋体" w:eastAsia="宋体" w:cs="宋体"/>
          <w:color w:val="auto"/>
          <w:lang w:val="en-US" w:eastAsia="zh-CN"/>
          <w:highlight w:val="auto"/>
        </w:rPr>
      </w:pPr>
      <w:r>
        <w:rPr>
          <w:rFonts w:ascii="宋体" w:cs="宋体" w:hint="eastAsia"/>
          <w:color w:val="auto"/>
          <w:lang w:eastAsia="zh-CN"/>
          <w:highlight w:val="auto"/>
        </w:rPr>
        <w:t>附件</w:t>
      </w:r>
      <w:r>
        <w:rPr>
          <w:rFonts w:ascii="宋体" w:cs="宋体" w:hint="eastAsia"/>
          <w:color w:val="auto"/>
          <w:lang w:val="en-US" w:eastAsia="zh-CN"/>
          <w:highlight w:val="auto"/>
        </w:rPr>
        <w:t>5：履约担保格式（独立保函、非独立保函）</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6</w:t>
      </w:r>
      <w:r>
        <w:rPr>
          <w:rFonts w:ascii="宋体" w:cs="宋体" w:hint="eastAsia"/>
          <w:color w:val="auto"/>
          <w:highlight w:val="auto"/>
        </w:rPr>
        <w:t>：进度款支付申请（核准）表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7</w:t>
      </w:r>
      <w:r>
        <w:rPr>
          <w:rFonts w:ascii="宋体" w:cs="宋体" w:hint="eastAsia"/>
          <w:color w:val="auto"/>
          <w:highlight w:val="auto"/>
        </w:rPr>
        <w:t>：竣工结算款支付申请（核准）表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8</w:t>
      </w:r>
      <w:r>
        <w:rPr>
          <w:rFonts w:ascii="宋体" w:cs="宋体" w:hint="eastAsia"/>
          <w:color w:val="auto"/>
          <w:highlight w:val="auto"/>
        </w:rPr>
        <w:t>：最终结算款支付申请（核准）表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9</w:t>
      </w:r>
      <w:r>
        <w:rPr>
          <w:rFonts w:ascii="宋体" w:cs="宋体" w:hint="eastAsia"/>
          <w:color w:val="auto"/>
          <w:highlight w:val="auto"/>
        </w:rPr>
        <w:t>：总价合同进度款支付分解表</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10</w:t>
      </w:r>
      <w:r>
        <w:rPr>
          <w:rFonts w:ascii="宋体" w:cs="宋体" w:hint="eastAsia"/>
          <w:color w:val="auto"/>
          <w:highlight w:val="auto"/>
        </w:rPr>
        <w:t>：廉政责任书</w:t>
      </w:r>
    </w:p>
    <w:p>
      <w:pPr>
        <w:pStyle w:val="101"/>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hint="eastAsia"/>
          <w:color w:val="auto"/>
          <w:lang w:val="en-US" w:eastAsia="zh-CN"/>
          <w:highlight w:val="auto"/>
        </w:rPr>
        <w:t>11</w:t>
      </w:r>
      <w:r>
        <w:rPr>
          <w:rFonts w:ascii="宋体" w:cs="宋体" w:hint="eastAsia"/>
          <w:color w:val="auto"/>
          <w:highlight w:val="auto"/>
        </w:rPr>
        <w:t>: 安全生产责任书</w:t>
      </w:r>
    </w:p>
    <w:p>
      <w:pPr>
        <w:pStyle w:val="101"/>
        <w:spacing w:line="360" w:lineRule="auto"/>
        <w:jc w:val="left"/>
        <w:rPr>
          <w:rFonts w:ascii="宋体" w:cs="宋体" w:hint="eastAsia"/>
          <w:b/>
          <w:bCs/>
          <w:color w:val="auto"/>
          <w:sz w:val="24"/>
          <w:highlight w:val="auto"/>
        </w:rPr>
      </w:pPr>
    </w:p>
    <w:p>
      <w:pPr>
        <w:pStyle w:val="101"/>
        <w:spacing w:line="360" w:lineRule="auto"/>
        <w:jc w:val="left"/>
        <w:rPr>
          <w:rFonts w:ascii="宋体" w:cs="宋体" w:hint="eastAsia"/>
          <w:b/>
          <w:bCs/>
          <w:color w:val="auto"/>
          <w:sz w:val="24"/>
          <w:highlight w:val="auto"/>
        </w:rPr>
      </w:pPr>
    </w:p>
    <w:p>
      <w:pPr>
        <w:pStyle w:val="101"/>
        <w:spacing w:line="360" w:lineRule="auto"/>
        <w:jc w:val="left"/>
        <w:rPr>
          <w:rFonts w:ascii="宋体" w:cs="宋体" w:hint="eastAsia"/>
          <w:color w:val="auto"/>
          <w:sz w:val="30"/>
          <w:szCs w:val="30"/>
          <w:highlight w:val="auto"/>
        </w:rPr>
      </w:pPr>
      <w:r>
        <w:rPr>
          <w:rFonts w:ascii="宋体" w:cs="宋体" w:hint="eastAsia"/>
          <w:b/>
          <w:bCs/>
          <w:color w:val="auto"/>
          <w:sz w:val="24"/>
          <w:highlight w:val="auto"/>
        </w:rPr>
        <w:br w:type="page"/>
      </w:r>
      <w:r>
        <w:rPr>
          <w:rFonts w:ascii="宋体" w:cs="宋体" w:hint="eastAsia"/>
          <w:color w:val="auto"/>
          <w:sz w:val="30"/>
          <w:szCs w:val="30"/>
          <w:highlight w:val="auto"/>
        </w:rPr>
        <w:t>附件1：</w:t>
      </w:r>
    </w:p>
    <w:p>
      <w:pPr>
        <w:pStyle w:val="101"/>
        <w:spacing w:line="360" w:lineRule="auto"/>
        <w:jc w:val="center"/>
        <w:rPr>
          <w:rStyle w:val="10"/>
          <w:rFonts w:ascii="宋体" w:eastAsia="宋体" w:cs="宋体" w:hint="eastAsia"/>
          <w:color w:val="auto"/>
          <w:sz w:val="28"/>
          <w:szCs w:val="28"/>
          <w:highlight w:val="auto"/>
        </w:rPr>
      </w:pPr>
      <w:r>
        <w:rPr>
          <w:rStyle w:val="10"/>
          <w:rFonts w:ascii="宋体" w:eastAsia="宋体" w:cs="宋体" w:hint="eastAsia"/>
          <w:color w:val="auto"/>
          <w:sz w:val="28"/>
          <w:szCs w:val="28"/>
          <w:highlight w:val="auto"/>
        </w:rPr>
        <w:t>工程质量保修书（房屋建筑工程）</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 xml:space="preserve">发包人（全称）：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 xml:space="preserve">承包人（全称）：                                 </w:t>
      </w:r>
    </w:p>
    <w:p>
      <w:pPr>
        <w:pStyle w:val="101"/>
        <w:spacing w:line="360" w:lineRule="auto"/>
        <w:rPr>
          <w:rStyle w:val="10"/>
          <w:rFonts w:ascii="宋体" w:eastAsia="宋体" w:cs="宋体" w:hint="eastAsia"/>
          <w:color w:val="auto"/>
          <w:highlight w:val="auto"/>
        </w:rPr>
      </w:pP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发包人和承包人根据《中华人民共和国建筑法》和《建设工程质量管理条例》，经协商一致就                                   （工程全称）签订工程质量保修书。</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一、工程质量保修范围和内容</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承包人在质量保修期内，按照有关法律规定和合同约定，承担工程质量保修责任。</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二、质量保修期</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根据《建设工程质量管理条例》及有关规定，工程的质量保修期如下：</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1．地基基础工程和主体结构工程为设计文件规定的工程合理使用年限；</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2．屋面防水工程、有防水要求的卫生间、房间和外墙面的防渗为 </w:t>
      </w:r>
      <w:r>
        <w:rPr>
          <w:rStyle w:val="10"/>
          <w:rFonts w:ascii="宋体" w:eastAsia="宋体" w:cs="宋体" w:hint="eastAsia"/>
          <w:color w:val="auto"/>
          <w:lang w:val="en-US" w:eastAsia="zh-CN"/>
          <w:highlight w:val="auto"/>
        </w:rPr>
        <w:t>5</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3．装修工程为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4．电气管线、给排水管道、设备安装工程为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5．供热与供冷系统为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个采暖期、供冷期；</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6．住宅小区内的给排水设施、道路等配套工程为 </w:t>
      </w:r>
      <w:r>
        <w:rPr>
          <w:rStyle w:val="10"/>
          <w:rFonts w:ascii="宋体" w:eastAsia="宋体" w:cs="宋体" w:hint="eastAsia"/>
          <w:color w:val="auto"/>
          <w:lang w:val="en-US" w:eastAsia="zh-CN"/>
          <w:highlight w:val="auto"/>
        </w:rPr>
        <w:t>2</w:t>
      </w:r>
      <w:r>
        <w:rPr>
          <w:rStyle w:val="10"/>
          <w:rFonts w:ascii="宋体" w:eastAsia="宋体" w:cs="宋体" w:hint="eastAsia"/>
          <w:color w:val="auto"/>
          <w:highlight w:val="auto"/>
        </w:rPr>
        <w:t xml:space="preserve"> 年；</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7．其他项目保修期限约定如下：</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质量保修期自工程竣工验收合格之日起计算。</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三、缺陷责任期</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工程缺陷责任期为  </w:t>
      </w:r>
      <w:r>
        <w:rPr>
          <w:rStyle w:val="10"/>
          <w:rFonts w:ascii="宋体" w:eastAsia="宋体" w:cs="宋体" w:hint="eastAsia"/>
          <w:color w:val="auto"/>
          <w:lang w:val="en-US" w:eastAsia="zh-CN"/>
          <w:highlight w:val="auto"/>
        </w:rPr>
        <w:t>24</w:t>
      </w:r>
      <w:r>
        <w:rPr>
          <w:rStyle w:val="10"/>
          <w:rFonts w:ascii="宋体" w:eastAsia="宋体" w:cs="宋体" w:hint="eastAsia"/>
          <w:color w:val="auto"/>
          <w:highlight w:val="auto"/>
        </w:rPr>
        <w:t xml:space="preserve"> 个月（最长不超过24个月），缺陷责任期自工程竣工验收合格之日起计算。单位工程先于全部工程进行验收，单位工程缺陷责任期自单位工程验收合格之日起算。</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缺陷责任期终止后，发包人应退还剩余的质量保证金。</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四、质量保修责任</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1．属于保修范围、内容的项目，承包人应当在接到保修通知之日起      天内派人保修。承包人不在约定期限内派人保修的，发包人可以委托他人修理，修理费用从质量保修金内扣除。</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2．发生紧急事故需抢修的，承包人在接到事故通知后，应当立即到达事故现场抢修。</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4．质量保修完成后，由发包人组织验收。</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五、保修费用</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保修费用由造成质量缺陷的责任方承担。</w:t>
      </w:r>
      <w:r>
        <w:rPr>
          <w:rStyle w:val="10"/>
          <w:rFonts w:ascii="宋体" w:eastAsia="宋体" w:cs="宋体"/>
          <w:color w:val="auto"/>
          <w:highlight w:val="auto"/>
        </w:rPr>
        <w:t>如</w:t>
      </w:r>
      <w:r>
        <w:rPr>
          <w:rStyle w:val="10"/>
          <w:rFonts w:ascii="宋体" w:eastAsia="宋体" w:cs="宋体" w:hint="eastAsia"/>
          <w:color w:val="auto"/>
          <w:lang w:eastAsia="zh-CN"/>
          <w:highlight w:val="auto"/>
        </w:rPr>
        <w:t>承包人</w:t>
      </w:r>
      <w:r>
        <w:rPr>
          <w:rStyle w:val="10"/>
          <w:rFonts w:ascii="宋体" w:eastAsia="宋体" w:cs="宋体"/>
          <w:color w:val="auto"/>
          <w:highlight w:val="auto"/>
        </w:rPr>
        <w:t>还是消极怠工或拒绝整改的，</w:t>
      </w:r>
      <w:r>
        <w:rPr>
          <w:rStyle w:val="10"/>
          <w:rFonts w:ascii="宋体" w:eastAsia="宋体" w:cs="宋体" w:hint="eastAsia"/>
          <w:color w:val="auto"/>
          <w:lang w:eastAsia="zh-CN"/>
          <w:highlight w:val="auto"/>
        </w:rPr>
        <w:t>发包人</w:t>
      </w:r>
      <w:r>
        <w:rPr>
          <w:rStyle w:val="10"/>
          <w:rFonts w:ascii="宋体" w:eastAsia="宋体" w:cs="宋体"/>
          <w:color w:val="auto"/>
          <w:highlight w:val="auto"/>
        </w:rPr>
        <w:t>根据合同第违约和争议约定进行处罚，同时承包人无条件同意甲方另行委托第三方进行维修，发生维修工程量以甲方和第三方确认为准，承包人同意发包人在其当期工程款支付时及结算款中扣除另行委托施工单位完成上述工作实际产生费用的5倍的金额做为违约金（实际产生费用按甲方与第三方施工单位签订的合同金额为依据）。</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六、双方约定的其他工程质量保修事项： </w:t>
      </w:r>
    </w:p>
    <w:p>
      <w:pPr>
        <w:pStyle w:val="101"/>
        <w:spacing w:line="360" w:lineRule="auto"/>
        <w:ind w:firstLineChars="200" w:firstLine="420"/>
        <w:rPr>
          <w:rStyle w:val="10"/>
          <w:rFonts w:ascii="宋体" w:eastAsia="宋体" w:cs="宋体" w:hint="eastAsia"/>
          <w:color w:val="auto"/>
          <w:lang w:eastAsia="zh-CN"/>
          <w:highlight w:val="auto"/>
        </w:rPr>
      </w:pPr>
      <w:r>
        <w:rPr>
          <w:rStyle w:val="10"/>
          <w:rFonts w:ascii="宋体" w:eastAsia="宋体" w:cs="宋体" w:hint="eastAsia"/>
          <w:color w:val="auto"/>
          <w:highlight w:val="auto"/>
        </w:rPr>
        <w:t xml:space="preserve">                                                                    </w:t>
      </w:r>
      <w:r>
        <w:rPr>
          <w:rStyle w:val="10"/>
          <w:rFonts w:ascii="宋体" w:eastAsia="宋体" w:cs="宋体" w:hint="eastAsia"/>
          <w:color w:val="auto"/>
          <w:lang w:eastAsia="zh-CN"/>
          <w:highlight w:val="auto"/>
        </w:rPr>
        <w:t>。</w:t>
      </w:r>
    </w:p>
    <w:p>
      <w:pPr>
        <w:pStyle w:val="101"/>
        <w:spacing w:line="360" w:lineRule="auto"/>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工程质量保修书由发包人、承包人在工程竣工验收前共同签署，作为施工合同附件，其有效期限至保修期满。</w:t>
      </w:r>
    </w:p>
    <w:p>
      <w:pPr>
        <w:pStyle w:val="101"/>
        <w:spacing w:line="360" w:lineRule="auto"/>
        <w:rPr>
          <w:rStyle w:val="10"/>
          <w:rFonts w:ascii="宋体" w:eastAsia="宋体" w:cs="宋体" w:hint="eastAsia"/>
          <w:color w:val="auto"/>
          <w:highlight w:val="auto"/>
        </w:rPr>
      </w:pP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发包人（公章）：                   承包人（公章）：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地  址：                   地  址：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 xml:space="preserve">法定代表人：                    </w:t>
      </w:r>
      <w:r>
        <w:rPr>
          <w:rStyle w:val="10"/>
          <w:rFonts w:ascii="宋体" w:eastAsia="宋体" w:cs="宋体" w:hint="eastAsia"/>
          <w:color w:val="auto"/>
          <w:lang w:val="en-US" w:eastAsia="zh-CN"/>
          <w:highlight w:val="auto"/>
        </w:rPr>
        <w:t xml:space="preserve">     </w:t>
      </w:r>
      <w:r>
        <w:rPr>
          <w:rStyle w:val="10"/>
          <w:rFonts w:ascii="宋体" w:eastAsia="宋体" w:cs="宋体" w:hint="eastAsia"/>
          <w:color w:val="auto"/>
          <w:highlight w:val="auto"/>
        </w:rPr>
        <w:t>法定代表人：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lang w:eastAsia="zh-CN"/>
          <w:highlight w:val="auto"/>
        </w:rPr>
        <w:t>或</w:t>
      </w:r>
      <w:r>
        <w:rPr>
          <w:rStyle w:val="10"/>
          <w:rFonts w:ascii="宋体" w:eastAsia="宋体" w:cs="宋体" w:hint="eastAsia"/>
          <w:color w:val="auto"/>
          <w:highlight w:val="auto"/>
        </w:rPr>
        <w:t xml:space="preserve">委托代理人：                    </w:t>
      </w:r>
      <w:r>
        <w:rPr>
          <w:rStyle w:val="10"/>
          <w:rFonts w:ascii="宋体" w:eastAsia="宋体" w:cs="宋体" w:hint="eastAsia"/>
          <w:color w:val="auto"/>
          <w:lang w:val="en-US" w:eastAsia="zh-CN"/>
          <w:highlight w:val="auto"/>
        </w:rPr>
        <w:t xml:space="preserve">   </w:t>
      </w:r>
      <w:r>
        <w:rPr>
          <w:rStyle w:val="10"/>
          <w:rFonts w:ascii="宋体" w:eastAsia="宋体" w:cs="宋体" w:hint="eastAsia"/>
          <w:color w:val="auto"/>
          <w:lang w:eastAsia="zh-CN"/>
          <w:highlight w:val="auto"/>
        </w:rPr>
        <w:t>或</w:t>
      </w:r>
      <w:r>
        <w:rPr>
          <w:rStyle w:val="10"/>
          <w:rFonts w:ascii="宋体" w:eastAsia="宋体" w:cs="宋体" w:hint="eastAsia"/>
          <w:color w:val="auto"/>
          <w:highlight w:val="auto"/>
        </w:rPr>
        <w:t>委托代理人：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电  话：                 电  话：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传  真：                 传  真：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开户银行：                 开户银行：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账  号：                     账  号：    </w:t>
      </w:r>
    </w:p>
    <w:p>
      <w:pPr>
        <w:pStyle w:val="101"/>
        <w:spacing w:line="360" w:lineRule="auto"/>
        <w:rPr>
          <w:rStyle w:val="10"/>
          <w:rFonts w:ascii="宋体" w:eastAsia="宋体" w:cs="宋体" w:hint="eastAsia"/>
          <w:color w:val="auto"/>
          <w:highlight w:val="auto"/>
        </w:rPr>
      </w:pPr>
      <w:r>
        <w:rPr>
          <w:rStyle w:val="10"/>
          <w:rFonts w:ascii="宋体" w:eastAsia="宋体" w:cs="宋体" w:hint="eastAsia"/>
          <w:color w:val="auto"/>
          <w:highlight w:val="auto"/>
        </w:rPr>
        <w:t>邮政编码：                   邮政编码：   </w:t>
      </w:r>
    </w:p>
    <w:p>
      <w:pPr>
        <w:pStyle w:val="101"/>
        <w:spacing w:line="440" w:lineRule="exact"/>
        <w:rPr>
          <w:rFonts w:ascii="宋体" w:cs="宋体" w:hint="eastAsia"/>
          <w:color w:val="auto"/>
          <w:sz w:val="30"/>
          <w:szCs w:val="30"/>
          <w:highlight w:val="auto"/>
        </w:rPr>
      </w:pPr>
      <w:r>
        <w:rPr>
          <w:rFonts w:ascii="宋体" w:cs="宋体" w:hint="eastAsia"/>
          <w:color w:val="auto"/>
          <w:sz w:val="30"/>
          <w:szCs w:val="30"/>
          <w:highlight w:val="auto"/>
        </w:rPr>
        <w:br w:type="page"/>
        <w:t>附件2：</w:t>
      </w:r>
    </w:p>
    <w:p>
      <w:pPr>
        <w:pStyle w:val="101"/>
        <w:spacing w:beforeLines="50" w:before="120" w:afterLines="50" w:after="120" w:line="440" w:lineRule="exact"/>
        <w:jc w:val="center"/>
        <w:rPr>
          <w:rFonts w:ascii="宋体" w:cs="宋体" w:hint="eastAsia"/>
          <w:color w:val="auto"/>
          <w:sz w:val="30"/>
          <w:szCs w:val="30"/>
          <w:highlight w:val="auto"/>
        </w:rPr>
      </w:pPr>
      <w:r>
        <w:rPr>
          <w:rFonts w:ascii="宋体" w:cs="宋体" w:hint="eastAsia"/>
          <w:color w:val="auto"/>
          <w:sz w:val="30"/>
          <w:szCs w:val="30"/>
          <w:highlight w:val="auto"/>
        </w:rPr>
        <w:t>承包人用于本工程施工的机械设备表</w:t>
      </w:r>
    </w:p>
    <w:tbl>
      <w:tblPr>
        <w:jc w:val="center"/>
        <w:tblW w:w="8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614"/>
        <w:gridCol w:w="1338"/>
        <w:gridCol w:w="1217"/>
        <w:gridCol w:w="1020"/>
        <w:gridCol w:w="890"/>
        <w:gridCol w:w="1110"/>
        <w:gridCol w:w="1155"/>
        <w:gridCol w:w="855"/>
        <w:gridCol w:w="605"/>
      </w:tblGrid>
      <w:tr>
        <w:tc>
          <w:tcPr>
            <w:tcW w:w="61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Cs w:val="21"/>
                <w:highlight w:val="auto"/>
              </w:rPr>
            </w:pPr>
            <w:r>
              <w:rPr>
                <w:rFonts w:ascii="宋体" w:cs="宋体" w:hint="eastAsia"/>
                <w:color w:val="auto"/>
                <w:szCs w:val="21"/>
                <w:highlight w:val="auto"/>
              </w:rPr>
              <w:t>序号</w:t>
            </w:r>
          </w:p>
        </w:tc>
        <w:tc>
          <w:tcPr>
            <w:tcW w:w="1338"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机械或设备名称</w:t>
            </w:r>
          </w:p>
        </w:tc>
        <w:tc>
          <w:tcPr>
            <w:tcW w:w="1217"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规格型号</w:t>
            </w:r>
          </w:p>
        </w:tc>
        <w:tc>
          <w:tcPr>
            <w:tcW w:w="1020"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数量</w:t>
            </w:r>
          </w:p>
        </w:tc>
        <w:tc>
          <w:tcPr>
            <w:tcW w:w="890"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产地</w:t>
            </w:r>
          </w:p>
        </w:tc>
        <w:tc>
          <w:tcPr>
            <w:tcW w:w="1110"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制造年份</w:t>
            </w:r>
          </w:p>
        </w:tc>
        <w:tc>
          <w:tcPr>
            <w:tcW w:w="1155"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额定功率（kW）</w:t>
            </w:r>
          </w:p>
        </w:tc>
        <w:tc>
          <w:tcPr>
            <w:tcW w:w="855"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生产能力</w:t>
            </w:r>
          </w:p>
        </w:tc>
        <w:tc>
          <w:tcPr>
            <w:tcW w:w="605" w:type="dxa"/>
            <w:tcBorders>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r>
              <w:rPr>
                <w:rFonts w:ascii="宋体" w:cs="宋体" w:hint="eastAsia"/>
                <w:color w:val="auto"/>
                <w:szCs w:val="21"/>
                <w:highlight w:val="auto"/>
              </w:rPr>
              <w:t>备注</w:t>
            </w: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lang w:val="zh-CN"/>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605"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360" w:lineRule="auto"/>
              <w:jc w:val="center"/>
              <w:rPr>
                <w:rFonts w:ascii="宋体" w:cs="宋体" w:hint="eastAsia"/>
                <w:color w:val="auto"/>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r>
        <w:trPr>
          <w:trHeight w:val="567"/>
        </w:trPr>
        <w:tc>
          <w:tcPr>
            <w:tcW w:w="614" w:type="dxa"/>
            <w:tcBorders>
              <w:top w:val="single" w:sz="4" w:space="0" w:color="auto"/>
              <w:left w:val="single" w:sz="4" w:space="0" w:color="auto"/>
              <w:right w:val="single" w:sz="4" w:space="0" w:color="auto"/>
            </w:tcBorders>
            <w:noWrap/>
            <w:vAlign w:val="center"/>
          </w:tcPr>
          <w:p>
            <w:pPr>
              <w:pStyle w:val="100"/>
              <w:numPr>
                <w:ilvl w:val="0"/>
                <w:numId w:val="3"/>
              </w:numPr>
              <w:spacing w:line="360" w:lineRule="auto"/>
              <w:rPr>
                <w:rFonts w:cs="宋体" w:hint="eastAsia"/>
                <w:color w:val="auto"/>
                <w:kern w:val="0"/>
                <w:szCs w:val="21"/>
                <w:highlight w:val="auto"/>
              </w:rPr>
            </w:pPr>
          </w:p>
        </w:tc>
        <w:tc>
          <w:tcPr>
            <w:tcW w:w="1338"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217"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02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90" w:type="dxa"/>
            <w:tcBorders>
              <w:top w:val="single" w:sz="4" w:space="0" w:color="auto"/>
              <w:left w:val="single" w:sz="4" w:space="0" w:color="auto"/>
              <w:right w:val="single" w:sz="4" w:space="0" w:color="auto"/>
            </w:tcBorders>
            <w:noWrap/>
            <w:vAlign w:val="center"/>
          </w:tcPr>
          <w:p>
            <w:pPr>
              <w:pStyle w:val="100"/>
              <w:spacing w:line="440" w:lineRule="exact"/>
              <w:rPr>
                <w:rFonts w:cs="宋体" w:hint="eastAsia"/>
                <w:color w:val="auto"/>
                <w:kern w:val="0"/>
                <w:szCs w:val="21"/>
                <w:highlight w:val="auto"/>
              </w:rPr>
            </w:pPr>
          </w:p>
        </w:tc>
        <w:tc>
          <w:tcPr>
            <w:tcW w:w="1110"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11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855" w:type="dxa"/>
            <w:tcBorders>
              <w:top w:val="single" w:sz="4" w:space="0" w:color="auto"/>
              <w:left w:val="single" w:sz="4" w:space="0" w:color="auto"/>
              <w:right w:val="single" w:sz="4" w:space="0" w:color="auto"/>
            </w:tcBorders>
            <w:noWrap/>
            <w:vAlign w:val="center"/>
          </w:tcPr>
          <w:p>
            <w:pPr>
              <w:pStyle w:val="101"/>
              <w:spacing w:line="440" w:lineRule="exact"/>
              <w:jc w:val="center"/>
              <w:rPr>
                <w:rFonts w:ascii="宋体" w:cs="宋体" w:hint="eastAsia"/>
                <w:color w:val="auto"/>
                <w:kern w:val="0"/>
                <w:szCs w:val="21"/>
                <w:highlight w:val="auto"/>
              </w:rPr>
            </w:pPr>
          </w:p>
        </w:tc>
        <w:tc>
          <w:tcPr>
            <w:tcW w:w="605" w:type="dxa"/>
            <w:tcBorders>
              <w:top w:val="single" w:sz="4" w:space="0" w:color="auto"/>
              <w:left w:val="single" w:sz="4" w:space="0" w:color="auto"/>
              <w:right w:val="single" w:sz="4" w:space="0" w:color="auto"/>
            </w:tcBorders>
            <w:noWrap/>
          </w:tcPr>
          <w:p>
            <w:pPr>
              <w:pStyle w:val="101"/>
              <w:jc w:val="center"/>
              <w:rPr>
                <w:rFonts w:ascii="宋体" w:cs="宋体" w:hint="eastAsia"/>
                <w:color w:val="auto"/>
                <w:szCs w:val="21"/>
                <w:highlight w:val="auto"/>
              </w:rPr>
            </w:pPr>
          </w:p>
        </w:tc>
      </w:tr>
    </w:tbl>
    <w:p>
      <w:pPr>
        <w:pStyle w:val="101"/>
        <w:spacing w:line="440" w:lineRule="exact"/>
        <w:jc w:val="left"/>
        <w:rPr>
          <w:rFonts w:ascii="宋体" w:cs="宋体" w:hint="eastAsia"/>
          <w:color w:val="auto"/>
          <w:sz w:val="30"/>
          <w:szCs w:val="30"/>
          <w:highlight w:val="auto"/>
        </w:rPr>
      </w:pPr>
    </w:p>
    <w:p>
      <w:pPr>
        <w:pStyle w:val="101"/>
        <w:spacing w:line="440" w:lineRule="exact"/>
        <w:jc w:val="left"/>
        <w:rPr>
          <w:rFonts w:ascii="宋体" w:cs="宋体" w:hint="eastAsia"/>
          <w:color w:val="auto"/>
          <w:sz w:val="30"/>
          <w:szCs w:val="30"/>
          <w:highlight w:val="auto"/>
        </w:rPr>
      </w:pPr>
      <w:r>
        <w:rPr>
          <w:rFonts w:ascii="宋体" w:cs="宋体" w:hint="eastAsia"/>
          <w:color w:val="auto"/>
          <w:sz w:val="30"/>
          <w:szCs w:val="30"/>
          <w:highlight w:val="auto"/>
        </w:rPr>
        <w:t>附件3：</w:t>
      </w:r>
    </w:p>
    <w:p>
      <w:pPr>
        <w:pStyle w:val="101"/>
        <w:spacing w:beforeLines="50" w:before="120" w:afterLines="50" w:after="120" w:line="440" w:lineRule="exact"/>
        <w:jc w:val="center"/>
        <w:rPr>
          <w:rFonts w:ascii="宋体" w:cs="宋体" w:hint="eastAsia"/>
          <w:color w:val="auto"/>
          <w:sz w:val="30"/>
          <w:szCs w:val="30"/>
          <w:highlight w:val="auto"/>
        </w:rPr>
      </w:pPr>
      <w:r>
        <w:rPr>
          <w:rFonts w:ascii="宋体" w:cs="宋体" w:hint="eastAsia"/>
          <w:color w:val="auto"/>
          <w:sz w:val="30"/>
          <w:szCs w:val="30"/>
          <w:highlight w:val="auto"/>
        </w:rPr>
        <w:t>承包人主要施工管理人员表</w:t>
      </w:r>
    </w:p>
    <w:tbl>
      <w:tblPr>
        <w:jc w:val="cente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871"/>
        <w:gridCol w:w="1418"/>
        <w:gridCol w:w="1134"/>
        <w:gridCol w:w="1134"/>
        <w:gridCol w:w="4252"/>
      </w:tblGrid>
      <w:tr>
        <w:tc>
          <w:tcPr>
            <w:tcW w:w="1871"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名    称</w:t>
            </w:r>
          </w:p>
        </w:tc>
        <w:tc>
          <w:tcPr>
            <w:tcW w:w="1418"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姓名</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职务</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职称</w:t>
            </w:r>
          </w:p>
        </w:tc>
        <w:tc>
          <w:tcPr>
            <w:tcW w:w="4252" w:type="dxa"/>
            <w:tcBorders>
              <w:left w:val="single" w:sz="4" w:space="0" w:color="auto"/>
              <w:right w:val="single" w:sz="4" w:space="0" w:color="auto"/>
            </w:tcBorders>
            <w:noWrap/>
            <w:vAlign w:val="center"/>
          </w:tcPr>
          <w:p>
            <w:pPr>
              <w:pStyle w:val="385"/>
              <w:keepNext/>
              <w:widowControl w:val="0"/>
              <w:spacing w:after="0" w:line="440" w:lineRule="exact"/>
              <w:ind w:right="63"/>
              <w:rPr>
                <w:rFonts w:ascii="宋体" w:cs="宋体" w:hint="eastAsia"/>
                <w:color w:val="auto"/>
                <w:sz w:val="28"/>
                <w:szCs w:val="28"/>
                <w:highlight w:val="auto"/>
              </w:rPr>
            </w:pPr>
            <w:r>
              <w:rPr>
                <w:rFonts w:ascii="宋体" w:cs="宋体" w:hint="eastAsia"/>
                <w:color w:val="auto"/>
                <w:sz w:val="28"/>
                <w:szCs w:val="28"/>
                <w:highlight w:val="auto"/>
              </w:rPr>
              <w:t>计划进场时间</w:t>
            </w: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一、总部人员</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项目主管</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工程部经理</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项目经理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项目经理</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技术负责人</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技术负责人</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造价管理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质量管理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质量员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rPr>
          <w:trHeight w:val="550"/>
        </w:trP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材料管理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材料员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安全管理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安全员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施工员</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p>
        </w:tc>
      </w:tr>
    </w:tbl>
    <w:p>
      <w:pPr>
        <w:pStyle w:val="101"/>
        <w:spacing w:line="440" w:lineRule="exact"/>
        <w:rPr>
          <w:rFonts w:ascii="宋体" w:cs="宋体" w:hint="eastAsia"/>
          <w:color w:val="auto"/>
          <w:sz w:val="30"/>
          <w:szCs w:val="30"/>
          <w:highlight w:val="auto"/>
        </w:rPr>
      </w:pPr>
      <w:r>
        <w:rPr>
          <w:rFonts w:ascii="宋体" w:cs="宋体" w:hint="eastAsia"/>
          <w:color w:val="auto"/>
          <w:sz w:val="30"/>
          <w:szCs w:val="30"/>
          <w:highlight w:val="auto"/>
        </w:rPr>
        <w:br w:type="page"/>
        <w:t>附件4：</w:t>
      </w:r>
    </w:p>
    <w:p>
      <w:pPr>
        <w:pStyle w:val="101"/>
        <w:spacing w:beforeLines="50" w:before="120" w:afterLines="50" w:after="120" w:line="440" w:lineRule="exact"/>
        <w:jc w:val="center"/>
        <w:rPr>
          <w:rFonts w:ascii="宋体" w:cs="宋体" w:hint="eastAsia"/>
          <w:color w:val="auto"/>
          <w:sz w:val="30"/>
          <w:szCs w:val="30"/>
          <w:highlight w:val="auto"/>
        </w:rPr>
      </w:pPr>
      <w:r>
        <w:rPr>
          <w:rFonts w:ascii="宋体" w:cs="宋体" w:hint="eastAsia"/>
          <w:color w:val="auto"/>
          <w:sz w:val="30"/>
          <w:szCs w:val="30"/>
          <w:highlight w:val="auto"/>
        </w:rPr>
        <w:t>分包人主要施工管理人员表</w:t>
      </w:r>
    </w:p>
    <w:tbl>
      <w:tblPr>
        <w:jc w:val="cente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871"/>
        <w:gridCol w:w="1418"/>
        <w:gridCol w:w="1134"/>
        <w:gridCol w:w="1134"/>
        <w:gridCol w:w="4252"/>
      </w:tblGrid>
      <w:tr>
        <w:tc>
          <w:tcPr>
            <w:tcW w:w="1871"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名    称</w:t>
            </w:r>
          </w:p>
        </w:tc>
        <w:tc>
          <w:tcPr>
            <w:tcW w:w="1418"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姓名</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职务</w:t>
            </w:r>
          </w:p>
        </w:tc>
        <w:tc>
          <w:tcPr>
            <w:tcW w:w="1134"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职称</w:t>
            </w:r>
          </w:p>
        </w:tc>
        <w:tc>
          <w:tcPr>
            <w:tcW w:w="4252" w:type="dxa"/>
            <w:tcBorders>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主要资历、经验及承担过的项目</w:t>
            </w: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一、总部人员</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项目主管</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9809" w:type="dxa"/>
            <w:gridSpan w:val="5"/>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二、现场人员</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项目经理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项目副经理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技术负责人</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造价管理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质量管理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材料管理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计划管理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安全管理</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val="restart"/>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其他人员</w:t>
            </w: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r>
        <w:tc>
          <w:tcPr>
            <w:tcW w:w="1871" w:type="dxa"/>
            <w:vMerge/>
            <w:tcBorders>
              <w:top w:val="single" w:sz="4" w:space="0" w:color="auto"/>
              <w:left w:val="single" w:sz="4" w:space="0" w:color="auto"/>
              <w:right w:val="single" w:sz="4" w:space="0" w:color="auto"/>
            </w:tcBorders>
            <w:noWrap/>
            <w:vAlign w:val="center"/>
          </w:tcPr>
          <w:p/>
        </w:tc>
        <w:tc>
          <w:tcPr>
            <w:tcW w:w="1418"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28"/>
                <w:szCs w:val="28"/>
                <w:highlight w:val="auto"/>
              </w:rPr>
            </w:pPr>
            <w:r>
              <w:rPr>
                <w:rFonts w:ascii="宋体" w:cs="宋体" w:hint="eastAsia"/>
                <w:color w:val="auto"/>
                <w:sz w:val="28"/>
                <w:szCs w:val="28"/>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1134"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c>
          <w:tcPr>
            <w:tcW w:w="4252" w:type="dxa"/>
            <w:tcBorders>
              <w:top w:val="single" w:sz="4" w:space="0" w:color="auto"/>
              <w:left w:val="single" w:sz="4" w:space="0" w:color="auto"/>
              <w:right w:val="single" w:sz="4" w:space="0" w:color="auto"/>
            </w:tcBorders>
            <w:noWrap/>
            <w:vAlign w:val="center"/>
          </w:tcPr>
          <w:p>
            <w:pPr>
              <w:pStyle w:val="385"/>
              <w:keepNext/>
              <w:widowControl w:val="0"/>
              <w:spacing w:after="0" w:line="440" w:lineRule="exact"/>
              <w:ind w:left="63" w:right="63"/>
              <w:rPr>
                <w:rFonts w:ascii="宋体" w:cs="宋体" w:hint="eastAsia"/>
                <w:color w:val="auto"/>
                <w:sz w:val="30"/>
                <w:szCs w:val="30"/>
                <w:highlight w:val="auto"/>
              </w:rPr>
            </w:pPr>
            <w:r>
              <w:rPr>
                <w:rFonts w:ascii="宋体" w:cs="宋体" w:hint="eastAsia"/>
                <w:color w:val="auto"/>
                <w:sz w:val="30"/>
                <w:szCs w:val="30"/>
                <w:highlight w:val="auto"/>
              </w:rPr>
              <w:t>/</w:t>
            </w:r>
          </w:p>
        </w:tc>
      </w:tr>
    </w:tbl>
    <w:p>
      <w:pPr>
        <w:rPr>
          <w:rFonts w:ascii="宋体" w:cs="宋体" w:hint="eastAsia"/>
          <w:color w:val="auto"/>
          <w:sz w:val="30"/>
          <w:szCs w:val="30"/>
          <w:highlight w:val="auto"/>
        </w:rPr>
      </w:pPr>
      <w:r>
        <w:rPr>
          <w:rFonts w:ascii="宋体" w:cs="宋体" w:hint="eastAsia"/>
          <w:color w:val="auto"/>
          <w:sz w:val="30"/>
          <w:szCs w:val="30"/>
          <w:highlight w:val="auto"/>
        </w:rPr>
        <w:br w:type="page"/>
      </w:r>
    </w:p>
    <w:p>
      <w:pPr>
        <w:pStyle w:val="101"/>
        <w:spacing w:line="440" w:lineRule="exact"/>
        <w:rPr>
          <w:rStyle w:val="10"/>
          <w:rFonts w:ascii="宋体" w:eastAsia="宋体" w:cs="宋体" w:hint="eastAsia"/>
          <w:b/>
          <w:bCs/>
          <w:color w:val="auto"/>
          <w:sz w:val="24"/>
          <w:szCs w:val="28"/>
          <w:highlight w:val="auto"/>
        </w:rPr>
      </w:pPr>
      <w:r>
        <w:rPr>
          <w:rStyle w:val="10"/>
          <w:rFonts w:ascii="宋体" w:eastAsia="宋体" w:cs="宋体" w:hint="eastAsia"/>
          <w:color w:val="auto"/>
          <w:kern w:val="2"/>
          <w:sz w:val="30"/>
          <w:szCs w:val="30"/>
          <w:lang w:val="en-US" w:eastAsia="zh-CN" w:bidi="ar-SA"/>
          <w:highlight w:val="auto"/>
        </w:rPr>
        <w:t>附件5：</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bCs/>
          <w:color w:val="auto"/>
          <w:highlight w:val="auto"/>
        </w:rPr>
        <w:t xml:space="preserve"> </w:t>
      </w:r>
      <w:r>
        <w:rPr>
          <w:rStyle w:val="10"/>
          <w:rFonts w:ascii="宋体" w:eastAsia="宋体" w:cs="宋体" w:hint="eastAsia"/>
          <w:b/>
          <w:color w:val="auto"/>
          <w:sz w:val="28"/>
          <w:szCs w:val="32"/>
          <w:highlight w:val="auto"/>
        </w:rPr>
        <w:t>履约保函示范文本</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color w:val="auto"/>
          <w:sz w:val="28"/>
          <w:szCs w:val="32"/>
          <w:highlight w:val="auto"/>
        </w:rPr>
        <w:t>（独立保函）</w:t>
      </w:r>
    </w:p>
    <w:p>
      <w:pPr>
        <w:pStyle w:val="386"/>
        <w:wordWrap w:val="0"/>
        <w:spacing w:line="360" w:lineRule="auto"/>
        <w:jc w:val="right"/>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编号：           </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申请人：</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地址：</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受益人：</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地址：</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开立人：</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地址：</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 </w:t>
      </w:r>
    </w:p>
    <w:p>
      <w:pPr>
        <w:pStyle w:val="386"/>
        <w:spacing w:line="360" w:lineRule="auto"/>
        <w:rPr>
          <w:rStyle w:val="10"/>
          <w:rFonts w:ascii="宋体" w:eastAsia="宋体" w:cs="宋体" w:hint="eastAsia"/>
          <w:color w:val="auto"/>
          <w:sz w:val="21"/>
          <w:szCs w:val="21"/>
          <w:highlight w:val="auto"/>
        </w:rPr>
      </w:pP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（受益人名称）：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鉴于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（以下简称“受益人”）与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（以下简称“申请人”）于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年</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月</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日就</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工程（以下简称“本工程”）施工和有关事项协商一致共同签订</w:t>
      </w:r>
      <w:r>
        <w:rPr>
          <w:rStyle w:val="10"/>
          <w:rFonts w:ascii="宋体" w:eastAsia="宋体" w:cs="宋体" w:hint="eastAsia"/>
          <w:color w:val="auto"/>
          <w:sz w:val="21"/>
          <w:szCs w:val="21"/>
          <w:u w:val="single"/>
          <w:highlight w:val="auto"/>
        </w:rPr>
        <w:t>《        》</w:t>
      </w:r>
      <w:r>
        <w:rPr>
          <w:rStyle w:val="10"/>
          <w:rFonts w:ascii="宋体" w:eastAsia="宋体" w:cs="宋体" w:hint="eastAsia"/>
          <w:color w:val="auto"/>
          <w:sz w:val="21"/>
          <w:szCs w:val="21"/>
          <w:highlight w:val="auto"/>
        </w:rPr>
        <w:t xml:space="preserve">（以下简称“基础合同”），我方（即“开立人”）根据基础合同了解到申请人为基础合同项下之承包人，受益人为基础合同项下之发包人，基于申请人的请求，我方同意就申请人履行与贵方签订的基础合同项下的义务，向贵方提供不可撤销、不可转让的见索即付独立保函（以下简称“本保函”）。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一、本保函担保范围：承包人未按照基础合同的约定履行义务，应当向贵方承担的违约责任和赔偿因此造成的损失、利息、律师费、诉讼费用等实现债权的费用。</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二、本保函担保金额最高不超过人民币（大写）</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元（¥</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三、本保函有效期自开立之日起至基础合同约定的缺陷责任期后</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日止，最迟不超过</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年</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月</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日。 </w:t>
      </w:r>
    </w:p>
    <w:p>
      <w:pPr>
        <w:pStyle w:val="386"/>
        <w:spacing w:line="360" w:lineRule="auto"/>
        <w:ind w:firstLine="48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四、我方承诺，在收到受益人发来的书面付款通知后的</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日内无条件支付，前述书面付款通知即为付款要求之单据，且应满足以下要求：</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（1）付款通知到达的日期在本保函的有效期内；</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（2）载明要求支付的金额；</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（3）载明申请人违反合同义务的条款和内容；</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（4）声明不存在合同文件约定或我国法律规定免除申请人或开立人支付责任的情形；</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（5）付款通知应在本保函有效期内到达的地址是：</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受益人发出的书面付款通知应由其为鉴明受益人法定代表人（负责人）或授权代理人签字并加盖公章。</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五、本保函项下的权利不得转让，不得设定担保。贵方未经我方书面同意转 让本保函或其项下任何权利，对我方不发生法律效力。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六、与本保函有关的基础合同不成立、不生效、无效、被撤销、被解除，不影响本保函的独立有效。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七、贵方应在本保函到期后的七日内将本保函正本退回我方注销，但是不论贵方是否按此要求将本保函正本退回我方，我方在本保函项下的义务和责任均在保函有效期到期后自动消灭。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八、本保函适用的法律为中华人民共和国法律，争议裁判管辖地为中华人民共和国</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u w:val="single"/>
          <w:lang w:val="en-US" w:eastAsia="zh-CN"/>
          <w:highlight w:val="auto"/>
        </w:rPr>
        <w:t xml:space="preserve">  </w:t>
      </w:r>
      <w:r>
        <w:rPr>
          <w:rStyle w:val="10"/>
          <w:rFonts w:ascii="宋体" w:eastAsia="宋体" w:cs="宋体" w:hint="eastAsia"/>
          <w:color w:val="auto"/>
          <w:sz w:val="21"/>
          <w:szCs w:val="21"/>
          <w:u w:val="single"/>
          <w:highlight w:val="auto"/>
        </w:rPr>
        <w:t xml:space="preserve"> </w:t>
      </w:r>
      <w:r>
        <w:rPr>
          <w:rStyle w:val="10"/>
          <w:rFonts w:ascii="宋体" w:eastAsia="宋体" w:cs="宋体" w:hint="eastAsia"/>
          <w:color w:val="auto"/>
          <w:sz w:val="21"/>
          <w:szCs w:val="21"/>
          <w:highlight w:val="auto"/>
        </w:rPr>
        <w:t xml:space="preserve">。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九、本保函自我方法定代表人或授权代表签字并加盖公章之日起生效。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开 立 人：                              （公章）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法定代表人（或授权代表）：               （签字）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地    址：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邮政编码：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电    话：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传    真：                 </w:t>
      </w:r>
    </w:p>
    <w:p>
      <w:pPr>
        <w:pStyle w:val="386"/>
        <w:spacing w:line="360" w:lineRule="auto"/>
        <w:ind w:firstLineChars="200" w:firstLine="420"/>
        <w:rPr>
          <w:rStyle w:val="10"/>
          <w:rFonts w:ascii="宋体" w:eastAsia="宋体" w:cs="宋体" w:hint="eastAsia"/>
          <w:color w:val="auto"/>
          <w:sz w:val="21"/>
          <w:szCs w:val="21"/>
          <w:highlight w:val="auto"/>
        </w:rPr>
      </w:pPr>
      <w:r>
        <w:rPr>
          <w:rStyle w:val="10"/>
          <w:rFonts w:ascii="宋体" w:eastAsia="宋体" w:cs="宋体" w:hint="eastAsia"/>
          <w:color w:val="auto"/>
          <w:sz w:val="21"/>
          <w:szCs w:val="21"/>
          <w:highlight w:val="auto"/>
        </w:rPr>
        <w:t xml:space="preserve">开立时间：      年      月    </w:t>
      </w:r>
    </w:p>
    <w:p>
      <w:pPr>
        <w:pStyle w:val="359"/>
        <w:spacing w:line="400" w:lineRule="exact"/>
        <w:rPr>
          <w:rStyle w:val="10"/>
          <w:rFonts w:ascii="宋体" w:eastAsia="宋体" w:cs="宋体" w:hint="eastAsia"/>
          <w:b/>
          <w:bCs/>
          <w:color w:val="auto"/>
          <w:highlight w:val="auto"/>
        </w:rPr>
      </w:pPr>
    </w:p>
    <w:p>
      <w:pPr>
        <w:pStyle w:val="359"/>
        <w:spacing w:line="400" w:lineRule="exact"/>
        <w:rPr>
          <w:rStyle w:val="10"/>
          <w:rFonts w:ascii="宋体" w:eastAsia="宋体" w:cs="宋体" w:hint="eastAsia"/>
          <w:b/>
          <w:bCs/>
          <w:color w:val="auto"/>
          <w:highlight w:val="auto"/>
        </w:rPr>
      </w:pPr>
    </w:p>
    <w:p>
      <w:pPr>
        <w:pStyle w:val="359"/>
        <w:spacing w:line="400" w:lineRule="exact"/>
        <w:rPr>
          <w:rStyle w:val="10"/>
          <w:rFonts w:ascii="宋体" w:eastAsia="宋体" w:cs="宋体" w:hint="eastAsia"/>
          <w:b/>
          <w:bCs/>
          <w:color w:val="auto"/>
          <w:highlight w:val="auto"/>
        </w:rPr>
      </w:pPr>
      <w:r>
        <w:rPr>
          <w:rStyle w:val="10"/>
          <w:rFonts w:ascii="宋体" w:eastAsia="宋体" w:cs="宋体" w:hint="eastAsia"/>
          <w:color w:val="auto"/>
          <w:kern w:val="2"/>
          <w:sz w:val="30"/>
          <w:szCs w:val="30"/>
          <w:lang w:val="en-US" w:eastAsia="zh-CN" w:bidi="ar-SA"/>
          <w:highlight w:val="auto"/>
        </w:rPr>
        <w:br w:type="page"/>
        <w:t>附件5：</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color w:val="auto"/>
          <w:sz w:val="28"/>
          <w:szCs w:val="32"/>
          <w:highlight w:val="auto"/>
        </w:rPr>
        <w:t>履约保函示范文本</w:t>
      </w:r>
    </w:p>
    <w:p>
      <w:pPr>
        <w:pStyle w:val="359"/>
        <w:spacing w:line="400" w:lineRule="exact"/>
        <w:jc w:val="center"/>
        <w:rPr>
          <w:rStyle w:val="10"/>
          <w:rFonts w:ascii="宋体" w:eastAsia="宋体" w:cs="宋体" w:hint="eastAsia"/>
          <w:b/>
          <w:color w:val="auto"/>
          <w:sz w:val="28"/>
          <w:szCs w:val="32"/>
          <w:highlight w:val="auto"/>
        </w:rPr>
      </w:pPr>
      <w:r>
        <w:rPr>
          <w:rStyle w:val="10"/>
          <w:rFonts w:ascii="宋体" w:eastAsia="宋体" w:cs="宋体" w:hint="eastAsia"/>
          <w:b/>
          <w:color w:val="auto"/>
          <w:sz w:val="28"/>
          <w:szCs w:val="32"/>
          <w:highlight w:val="auto"/>
        </w:rPr>
        <w:t>（非独立保函）</w:t>
      </w:r>
    </w:p>
    <w:p>
      <w:pPr>
        <w:pStyle w:val="359"/>
        <w:spacing w:line="400" w:lineRule="exact"/>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编号：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承包人：</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地址：</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担保权人/发包人：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地址：</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保证人：</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地址：</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（发包人名称）：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鉴于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（以下简称“发包人”）与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（以下简称“承包人”）于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年</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月</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日就</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工程（以下简称“本工程”）施工和有关事项协商一致共同签订</w:t>
      </w:r>
      <w:r>
        <w:rPr>
          <w:rStyle w:val="10"/>
          <w:rFonts w:ascii="宋体" w:eastAsia="宋体" w:cs="宋体" w:hint="eastAsia"/>
          <w:color w:val="auto"/>
          <w:u w:val="single"/>
          <w:highlight w:val="auto"/>
        </w:rPr>
        <w:t>《        》</w:t>
      </w:r>
      <w:r>
        <w:rPr>
          <w:rStyle w:val="10"/>
          <w:rFonts w:ascii="宋体" w:eastAsia="宋体" w:cs="宋体" w:hint="eastAsia"/>
          <w:color w:val="auto"/>
          <w:highlight w:val="auto"/>
        </w:rPr>
        <w:t xml:space="preserve">（以下简称“主合同”），我方即保证人基于承包人的请求，同意就承包人履行与贵方签订的主合同项下的义务，向贵方提供如下保证担保（以下简称“本保证担保”）。 </w:t>
      </w:r>
    </w:p>
    <w:p>
      <w:pPr>
        <w:pStyle w:val="359"/>
        <w:spacing w:line="400" w:lineRule="exact"/>
        <w:rPr>
          <w:rStyle w:val="10"/>
          <w:rFonts w:ascii="宋体" w:eastAsia="宋体" w:cs="宋体" w:hint="eastAsia"/>
          <w:b/>
          <w:bCs/>
          <w:color w:val="auto"/>
          <w:highlight w:val="auto"/>
        </w:rPr>
      </w:pPr>
      <w:r>
        <w:rPr>
          <w:rStyle w:val="10"/>
          <w:rFonts w:ascii="宋体" w:eastAsia="宋体" w:cs="宋体" w:hint="eastAsia"/>
          <w:color w:val="auto"/>
          <w:highlight w:val="auto"/>
        </w:rPr>
        <w:t xml:space="preserve">    </w:t>
      </w:r>
      <w:r>
        <w:rPr>
          <w:rStyle w:val="10"/>
          <w:rFonts w:ascii="宋体" w:eastAsia="宋体" w:cs="宋体" w:hint="eastAsia"/>
          <w:b/>
          <w:bCs/>
          <w:color w:val="auto"/>
          <w:highlight w:val="auto"/>
        </w:rPr>
        <w:t>一、保证担保的范围及保证担保金额</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1.保证担保范围：承包人未按照主合同的约定履行义务，应当向贵方承担的违约责任和赔偿因此造成的损失、利息、律师费、诉讼费用等实现债权的费用。</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2.保证担保金额最高不超过人民币（大写）</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元（¥</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 </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二、保证担保的方式及保证期间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1.保证担保方式：连带责任保证。</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2.保证期间：自出具之日起至主合同约定的缺陷责任期后</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日止，最迟不超过</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年</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月</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日。 </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三、承担保证担保责任的形式</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我方按照贵方的要求以下列方式之一承担保证担保责任：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1.向承包人资金、设备或者技术援助，使其能继续履行合同义务；</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2.直接接管该项工程或者委托经贵方同意的其他承包商，继续履行合同义务；</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3.在保证担保金额最高限额内，按照合同约定，向贵方承担违约责任和赔偿因此造成的损失，以及利息和律师费、诉讼费用等实现债权的费用。</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四、代偿的安排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1.贵方要求我方承担保证责任的，应向我方发出书面索赔通知及承包人未履行主合同约定义务的证明材料。索赔通知应写明要求索赔的金额，支付款项应到达的帐号，并附有说明承包人违反主合同造成贵方损失情况的证明材料。</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2.贵方以工程质量不符合主合同约定标准为由，向我方提出违约索赔的，还需同时提供符合相应条件要求的工程质量检测部门出具的质量说明材料。</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3.我方收到贵方的书面索赔通知及相应证明材料后，在</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工作日内进行核定后按照本保函的承诺承担保证责任。</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五、保证担保责任的解除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1.保证期间届满贵方未向我方书面主张保证责任的，自保证期间届满次日起，我方解除保证责任。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2.我方按照本保证担保向贵方履行了保证担保责任后，自我方向贵方支付的金额达到最高保证担保金额之日起，保证担保责任解除。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3.按照法律法规的规定应解除我方保证担保责任的其它情形的，我方在本保证担保项下的保证担保责任亦解除。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4.我方解除保证责任后，贵方应按上述约定，自我方保证担保责任解除之日起七日内，将本保证担保原件返还我方。但是不论贵方是否按此要求将本保证担保原件退回我方，我方在本保证担保项下的义务和责任均自保证担保责任解除之日自动消灭。</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 xml:space="preserve">六、免责条款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1.因贵方原因致使承包人未按照主合同约定履行义务的，我方不承担保证担保责任。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2.依照法律规定或贵方与发包人的另行约定，免除承包人部分或全部义务的，我方亦免除其相应的保证担保责任。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3.因不可抗力造成承包人未按照主合同约定履行义务的，我方不承担保证担保责任。</w:t>
      </w:r>
    </w:p>
    <w:p>
      <w:pPr>
        <w:pStyle w:val="359"/>
        <w:spacing w:line="400" w:lineRule="exact"/>
        <w:ind w:firstLineChars="200" w:firstLine="420"/>
        <w:rPr>
          <w:rStyle w:val="10"/>
          <w:rFonts w:ascii="宋体" w:eastAsia="宋体" w:cs="宋体" w:hint="eastAsia"/>
          <w:b/>
          <w:bCs/>
          <w:color w:val="auto"/>
          <w:highlight w:val="auto"/>
        </w:rPr>
      </w:pPr>
      <w:r>
        <w:rPr>
          <w:rStyle w:val="10"/>
          <w:rFonts w:ascii="宋体" w:eastAsia="宋体" w:cs="宋体" w:hint="eastAsia"/>
          <w:b/>
          <w:bCs/>
          <w:color w:val="auto"/>
          <w:highlight w:val="auto"/>
        </w:rPr>
        <w:t>七、其他</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1.本保证担保项下的权利不得转让，不得设定担保。贵方未经我方书面同意转让本保证担保或其项下任何权利，对我方不发生法律效力。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2.本保证担保适用的法律为中华人民共和国法律，争议裁判管辖地为中华人民共和国</w:t>
      </w:r>
      <w:r>
        <w:rPr>
          <w:rStyle w:val="10"/>
          <w:rFonts w:ascii="宋体" w:eastAsia="宋体" w:cs="宋体" w:hint="eastAsia"/>
          <w:color w:val="auto"/>
          <w:u w:val="single"/>
          <w:highlight w:val="auto"/>
        </w:rPr>
        <w:t xml:space="preserve">     </w:t>
      </w:r>
      <w:r>
        <w:rPr>
          <w:rStyle w:val="10"/>
          <w:rFonts w:ascii="宋体" w:eastAsia="宋体" w:cs="宋体" w:hint="eastAsia"/>
          <w:color w:val="auto"/>
          <w:highlight w:val="auto"/>
        </w:rPr>
        <w:t xml:space="preserve">。 </w:t>
      </w:r>
    </w:p>
    <w:p>
      <w:pPr>
        <w:pStyle w:val="359"/>
        <w:spacing w:line="400" w:lineRule="exact"/>
        <w:ind w:firstLineChars="200" w:firstLine="420"/>
        <w:rPr>
          <w:rStyle w:val="10"/>
          <w:rFonts w:ascii="宋体" w:eastAsia="宋体" w:cs="宋体" w:hint="eastAsia"/>
          <w:color w:val="auto"/>
          <w:highlight w:val="auto"/>
        </w:rPr>
      </w:pPr>
      <w:r>
        <w:rPr>
          <w:rStyle w:val="10"/>
          <w:rFonts w:ascii="宋体" w:eastAsia="宋体" w:cs="宋体" w:hint="eastAsia"/>
          <w:color w:val="auto"/>
          <w:highlight w:val="auto"/>
        </w:rPr>
        <w:t xml:space="preserve">3.本保证担保自我方法定代表人或授权代表签字并加盖公章之日起生效。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保 证 人：                              （公章）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法定代表人（或授权代表）：               （签字）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地    址：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邮政编码：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电    话：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 xml:space="preserve">传    真：                 </w:t>
      </w:r>
    </w:p>
    <w:p>
      <w:pPr>
        <w:pStyle w:val="359"/>
        <w:spacing w:line="400" w:lineRule="exact"/>
        <w:rPr>
          <w:rStyle w:val="10"/>
          <w:rFonts w:ascii="宋体" w:eastAsia="宋体" w:cs="宋体" w:hint="eastAsia"/>
          <w:color w:val="auto"/>
          <w:highlight w:val="auto"/>
        </w:rPr>
      </w:pPr>
      <w:r>
        <w:rPr>
          <w:rStyle w:val="10"/>
          <w:rFonts w:ascii="宋体" w:eastAsia="宋体" w:cs="宋体" w:hint="eastAsia"/>
          <w:color w:val="auto"/>
          <w:highlight w:val="auto"/>
        </w:rPr>
        <w:t>时    间：      年      月        日</w:t>
      </w:r>
    </w:p>
    <w:p>
      <w:pPr>
        <w:pStyle w:val="103"/>
        <w:tabs>
          <w:tab w:val="left" w:pos="0"/>
        </w:tabs>
        <w:ind w:firstLineChars="0" w:firstLine="0"/>
        <w:rPr>
          <w:rFonts w:hint="eastAsia"/>
          <w:color w:val="auto"/>
          <w:highlight w:val="auto"/>
        </w:rPr>
      </w:pPr>
    </w:p>
    <w:p>
      <w:pPr>
        <w:pStyle w:val="101"/>
        <w:spacing w:beforeLines="50" w:before="120"/>
        <w:ind w:left="1200" w:hangingChars="400" w:hanging="1200"/>
        <w:rPr>
          <w:rFonts w:ascii="宋体" w:cs="宋体" w:hint="eastAsia"/>
          <w:color w:val="auto"/>
          <w:sz w:val="30"/>
          <w:szCs w:val="30"/>
          <w:highlight w:val="auto"/>
        </w:rPr>
      </w:pPr>
    </w:p>
    <w:p>
      <w:pPr>
        <w:pStyle w:val="101"/>
        <w:spacing w:beforeLines="50" w:before="120"/>
        <w:ind w:left="1200" w:hangingChars="400" w:hanging="1200"/>
        <w:rPr>
          <w:rFonts w:ascii="宋体" w:cs="宋体" w:hint="eastAsia"/>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6</w:t>
      </w:r>
      <w:r>
        <w:rPr>
          <w:rFonts w:ascii="宋体" w:cs="宋体" w:hint="eastAsia"/>
          <w:color w:val="auto"/>
          <w:sz w:val="30"/>
          <w:szCs w:val="30"/>
          <w:highlight w:val="auto"/>
        </w:rPr>
        <w:t>：</w:t>
      </w:r>
    </w:p>
    <w:p>
      <w:pPr>
        <w:pStyle w:val="101"/>
        <w:jc w:val="center"/>
        <w:rPr>
          <w:rFonts w:ascii="宋体" w:cs="宋体" w:hint="eastAsia"/>
          <w:b/>
          <w:color w:val="auto"/>
          <w:sz w:val="36"/>
          <w:szCs w:val="36"/>
          <w:highlight w:val="auto"/>
        </w:rPr>
      </w:pPr>
      <w:r>
        <w:rPr>
          <w:rFonts w:ascii="宋体" w:cs="宋体" w:hint="eastAsia"/>
          <w:b/>
          <w:color w:val="auto"/>
          <w:sz w:val="36"/>
          <w:szCs w:val="36"/>
          <w:highlight w:val="auto"/>
        </w:rPr>
        <w:t>进度款支付申请（核准）表</w:t>
      </w:r>
    </w:p>
    <w:p>
      <w:pPr>
        <w:pStyle w:val="101"/>
        <w:rPr>
          <w:rFonts w:ascii="宋体" w:cs="宋体" w:hint="eastAsia"/>
          <w:color w:val="auto"/>
          <w:sz w:val="24"/>
          <w:highlight w:val="auto"/>
        </w:rPr>
      </w:pPr>
      <w:r>
        <w:rPr>
          <w:rFonts w:ascii="宋体" w:cs="宋体" w:hint="eastAsia"/>
          <w:color w:val="auto"/>
          <w:sz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20"/>
        <w:gridCol w:w="4552"/>
      </w:tblGrid>
      <w:tr>
        <w:trPr>
          <w:trHeight w:val="6248"/>
        </w:trPr>
        <w:tc>
          <w:tcPr>
            <w:tcW w:w="9072" w:type="dxa"/>
            <w:gridSpan w:val="2"/>
            <w:tcBorders>
              <w:left w:val="single" w:sz="4" w:space="0" w:color="auto"/>
              <w:right w:val="single" w:sz="4" w:space="0" w:color="auto"/>
            </w:tcBorders>
            <w:noWrap/>
          </w:tcPr>
          <w:p>
            <w:pPr>
              <w:pStyle w:val="101"/>
              <w:spacing w:line="480" w:lineRule="exact"/>
              <w:ind w:leftChars="149" w:left="525" w:hangingChars="101" w:hanging="212"/>
              <w:rPr>
                <w:rFonts w:ascii="宋体" w:cs="宋体" w:hint="eastAsia"/>
                <w:color w:val="auto"/>
                <w:u w:val="single"/>
                <w:highlight w:val="auto"/>
              </w:rPr>
            </w:pPr>
            <w:r>
              <w:rPr>
                <w:rFonts w:ascii="宋体" w:cs="宋体" w:hint="eastAsia"/>
                <w:color w:val="auto"/>
                <w:highlight w:val="auto"/>
              </w:rPr>
              <w:t>致：</w:t>
            </w:r>
            <w:r>
              <w:rPr>
                <w:rFonts w:ascii="宋体" w:cs="宋体" w:hint="eastAsia"/>
                <w:color w:val="auto"/>
                <w:u w:val="single"/>
                <w:highlight w:val="auto"/>
              </w:rPr>
              <w:t xml:space="preserve">                                   （发包人全称）</w:t>
            </w:r>
          </w:p>
          <w:p>
            <w:pPr>
              <w:pStyle w:val="101"/>
              <w:spacing w:line="400" w:lineRule="exact"/>
              <w:ind w:leftChars="-2" w:left="-4" w:firstLineChars="150" w:firstLine="315"/>
              <w:rPr>
                <w:rFonts w:ascii="宋体" w:cs="宋体" w:hint="eastAsia"/>
                <w:color w:val="auto"/>
                <w:highlight w:val="auto"/>
              </w:rPr>
            </w:pPr>
            <w:r>
              <w:rPr>
                <w:rFonts w:ascii="宋体" w:cs="宋体" w:hint="eastAsia"/>
                <w:color w:val="auto"/>
                <w:highlight w:val="auto"/>
              </w:rPr>
              <w:t>我方于</w:t>
            </w:r>
            <w:r>
              <w:rPr>
                <w:rFonts w:ascii="宋体" w:cs="宋体" w:hint="eastAsia"/>
                <w:color w:val="auto"/>
                <w:u w:val="single"/>
                <w:highlight w:val="auto"/>
              </w:rPr>
              <w:t xml:space="preserve">         </w:t>
            </w:r>
            <w:r>
              <w:rPr>
                <w:rFonts w:ascii="宋体" w:cs="宋体" w:hint="eastAsia"/>
                <w:color w:val="auto"/>
                <w:highlight w:val="auto"/>
              </w:rPr>
              <w:t>至</w:t>
            </w:r>
            <w:r>
              <w:rPr>
                <w:rFonts w:ascii="宋体" w:cs="宋体" w:hint="eastAsia"/>
                <w:color w:val="auto"/>
                <w:u w:val="single"/>
                <w:highlight w:val="auto"/>
              </w:rPr>
              <w:t xml:space="preserve">          </w:t>
            </w:r>
            <w:r>
              <w:rPr>
                <w:rFonts w:ascii="宋体" w:cs="宋体" w:hint="eastAsia"/>
                <w:color w:val="auto"/>
                <w:highlight w:val="auto"/>
              </w:rPr>
              <w:t>期间已完成了</w:t>
            </w:r>
            <w:r>
              <w:rPr>
                <w:rFonts w:ascii="宋体" w:cs="宋体" w:hint="eastAsia"/>
                <w:color w:val="auto"/>
                <w:u w:val="single"/>
                <w:highlight w:val="auto"/>
              </w:rPr>
              <w:t xml:space="preserve">               </w:t>
            </w:r>
            <w:r>
              <w:rPr>
                <w:rFonts w:ascii="宋体" w:cs="宋体" w:hint="eastAsia"/>
                <w:color w:val="auto"/>
                <w:highlight w:val="auto"/>
              </w:rPr>
              <w:t>工作，根据施工合同的约定，现申请支付本期的合同款额为(大写)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340"/>
              <w:gridCol w:w="1340"/>
              <w:gridCol w:w="1440"/>
              <w:gridCol w:w="1260"/>
              <w:gridCol w:w="931"/>
            </w:tblGrid>
            <w:tr>
              <w:trPr>
                <w:trHeight w:val="309"/>
              </w:trPr>
              <w:tc>
                <w:tcPr>
                  <w:tcW w:w="535"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序号</w:t>
                  </w:r>
                </w:p>
              </w:tc>
              <w:tc>
                <w:tcPr>
                  <w:tcW w:w="334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名      称</w:t>
                  </w:r>
                </w:p>
              </w:tc>
              <w:tc>
                <w:tcPr>
                  <w:tcW w:w="134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实际金额（元）</w:t>
                  </w:r>
                </w:p>
              </w:tc>
              <w:tc>
                <w:tcPr>
                  <w:tcW w:w="144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申请金额（元）</w:t>
                  </w:r>
                </w:p>
              </w:tc>
              <w:tc>
                <w:tcPr>
                  <w:tcW w:w="126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复核金额（元）</w:t>
                  </w:r>
                </w:p>
              </w:tc>
              <w:tc>
                <w:tcPr>
                  <w:tcW w:w="931"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备注</w:t>
                  </w: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1</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累计已完成的工程价款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2</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累计已实际支付的工程价款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3</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本周期已完成的工程价款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本周期应扣减的金额</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4.1</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本周期实际应抵扣的预付款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4.2</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本周期应扣减的金额</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5</w:t>
                  </w: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本周期应支付的合同价款</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其中：人工费</w:t>
                  </w:r>
                </w:p>
              </w:tc>
              <w:tc>
                <w:tcPr>
                  <w:tcW w:w="13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44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26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93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bl>
          <w:p>
            <w:pPr>
              <w:pStyle w:val="101"/>
              <w:wordWrap w:val="0"/>
              <w:spacing w:line="400" w:lineRule="exact"/>
              <w:ind w:right="420"/>
              <w:rPr>
                <w:rFonts w:ascii="宋体" w:cs="宋体" w:hint="eastAsia"/>
                <w:color w:val="auto"/>
                <w:highlight w:val="auto"/>
              </w:rPr>
            </w:pPr>
            <w:r>
              <w:rPr>
                <w:rFonts w:ascii="宋体" w:cs="宋体" w:hint="eastAsia"/>
                <w:color w:val="auto"/>
                <w:highlight w:val="auto"/>
              </w:rPr>
              <w:t>附：上述3、4详见附件清单。</w:t>
            </w:r>
          </w:p>
          <w:p>
            <w:pPr>
              <w:pStyle w:val="101"/>
              <w:wordWrap w:val="0"/>
              <w:spacing w:line="400" w:lineRule="exact"/>
              <w:ind w:right="420"/>
              <w:rPr>
                <w:rFonts w:ascii="宋体" w:cs="宋体" w:hint="eastAsia"/>
                <w:color w:val="auto"/>
                <w:highlight w:val="auto"/>
              </w:rPr>
            </w:pPr>
            <w:r>
              <w:rPr>
                <w:rFonts w:ascii="宋体" w:cs="宋体" w:hint="eastAsia"/>
                <w:color w:val="auto"/>
                <w:highlight w:val="auto"/>
              </w:rPr>
              <w:t xml:space="preserve">                                            承包人（章）             </w:t>
            </w:r>
          </w:p>
          <w:p>
            <w:pPr>
              <w:pStyle w:val="101"/>
              <w:spacing w:line="400" w:lineRule="exact"/>
              <w:ind w:right="420" w:firstLine="435"/>
              <w:rPr>
                <w:rFonts w:ascii="宋体" w:cs="宋体" w:hint="eastAsia"/>
                <w:color w:val="auto"/>
                <w:highlight w:val="auto"/>
              </w:rPr>
            </w:pPr>
            <w:r>
              <w:rPr>
                <w:rFonts w:ascii="宋体" w:cs="宋体" w:hint="eastAsia"/>
                <w:color w:val="auto"/>
                <w:highlight w:val="auto"/>
              </w:rPr>
              <w:t>造价人员</w:t>
            </w:r>
            <w:r>
              <w:rPr>
                <w:rFonts w:ascii="宋体" w:cs="宋体" w:hint="eastAsia"/>
                <w:color w:val="auto"/>
                <w:u w:val="single"/>
                <w:highlight w:val="auto"/>
              </w:rPr>
              <w:t xml:space="preserve">               </w:t>
            </w:r>
            <w:r>
              <w:rPr>
                <w:rFonts w:ascii="宋体" w:cs="宋体" w:hint="eastAsia"/>
                <w:color w:val="auto"/>
                <w:highlight w:val="auto"/>
              </w:rPr>
              <w:t>承包人代表</w:t>
            </w:r>
            <w:r>
              <w:rPr>
                <w:rFonts w:ascii="宋体" w:cs="宋体" w:hint="eastAsia"/>
                <w:color w:val="auto"/>
                <w:u w:val="single"/>
                <w:highlight w:val="auto"/>
              </w:rPr>
              <w:t xml:space="preserve">               </w:t>
            </w:r>
            <w:r>
              <w:rPr>
                <w:rFonts w:ascii="宋体" w:cs="宋体" w:hint="eastAsia"/>
                <w:color w:val="auto"/>
                <w:highlight w:val="auto"/>
              </w:rPr>
              <w:t>日      期</w:t>
            </w:r>
            <w:r>
              <w:rPr>
                <w:rFonts w:ascii="宋体" w:cs="宋体" w:hint="eastAsia"/>
                <w:color w:val="auto"/>
                <w:u w:val="single"/>
                <w:highlight w:val="auto"/>
              </w:rPr>
              <w:t xml:space="preserve">               </w:t>
            </w:r>
          </w:p>
        </w:tc>
      </w:tr>
      <w:tr>
        <w:trPr>
          <w:trHeight w:val="2622"/>
        </w:trPr>
        <w:tc>
          <w:tcPr>
            <w:tcW w:w="45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□与实际施工情况不相符，修改意见见附件。</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□与实际施工情况相符，具体金额由造价工程师复核。</w:t>
            </w:r>
          </w:p>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监理工程师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c>
          <w:tcPr>
            <w:tcW w:w="4552"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435"/>
              <w:rPr>
                <w:rFonts w:ascii="宋体" w:cs="宋体" w:hint="eastAsia"/>
                <w:color w:val="auto"/>
                <w:highlight w:val="auto"/>
              </w:rPr>
            </w:pPr>
            <w:r>
              <w:rPr>
                <w:rFonts w:ascii="宋体" w:cs="宋体" w:hint="eastAsia"/>
                <w:color w:val="auto"/>
                <w:highlight w:val="auto"/>
              </w:rPr>
              <w:t>你方提出的支付申请经复核，本周期已完成工程价款为(大写)</w:t>
            </w:r>
            <w:r>
              <w:rPr>
                <w:rFonts w:ascii="宋体" w:cs="宋体" w:hint="eastAsia"/>
                <w:color w:val="auto"/>
                <w:u w:val="single"/>
                <w:highlight w:val="auto"/>
              </w:rPr>
              <w:t xml:space="preserve">                </w:t>
            </w:r>
            <w:r>
              <w:rPr>
                <w:rFonts w:ascii="宋体" w:cs="宋体" w:hint="eastAsia"/>
                <w:color w:val="auto"/>
                <w:highlight w:val="auto"/>
              </w:rPr>
              <w:t>元，（小写）</w:t>
            </w:r>
          </w:p>
          <w:p>
            <w:pPr>
              <w:pStyle w:val="101"/>
              <w:spacing w:line="360" w:lineRule="exact"/>
              <w:rPr>
                <w:rFonts w:ascii="宋体" w:cs="宋体" w:hint="eastAsia"/>
                <w:color w:val="auto"/>
                <w:highlight w:val="auto"/>
              </w:rPr>
            </w:pPr>
            <w:r>
              <w:rPr>
                <w:rFonts w:ascii="宋体" w:cs="宋体" w:hint="eastAsia"/>
                <w:color w:val="auto"/>
                <w:u w:val="single"/>
                <w:highlight w:val="auto"/>
              </w:rPr>
              <w:t xml:space="preserve">          </w:t>
            </w:r>
            <w:r>
              <w:rPr>
                <w:rFonts w:ascii="宋体" w:cs="宋体" w:hint="eastAsia"/>
                <w:color w:val="auto"/>
                <w:highlight w:val="auto"/>
              </w:rPr>
              <w:t xml:space="preserve"> 元，本期间应支付金额为（大写）</w:t>
            </w:r>
          </w:p>
          <w:p>
            <w:pPr>
              <w:pStyle w:val="101"/>
              <w:spacing w:line="360" w:lineRule="exact"/>
              <w:rPr>
                <w:rFonts w:ascii="宋体" w:cs="宋体" w:hint="eastAsia"/>
                <w:color w:val="auto"/>
                <w:u w:val="single"/>
                <w:highlight w:val="auto"/>
              </w:rPr>
            </w:pP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造价工程师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r>
      <w:tr>
        <w:trPr>
          <w:trHeight w:val="2171"/>
        </w:trPr>
        <w:tc>
          <w:tcPr>
            <w:tcW w:w="9072" w:type="dxa"/>
            <w:gridSpan w:val="2"/>
            <w:tcBorders>
              <w:top w:val="single" w:sz="4" w:space="0" w:color="auto"/>
              <w:left w:val="single" w:sz="4" w:space="0" w:color="auto"/>
              <w:right w:val="single" w:sz="4" w:space="0" w:color="auto"/>
            </w:tcBorders>
            <w:noWrap/>
          </w:tcPr>
          <w:p>
            <w:pPr>
              <w:pStyle w:val="101"/>
              <w:spacing w:line="400" w:lineRule="exact"/>
              <w:rPr>
                <w:rFonts w:ascii="宋体" w:cs="宋体" w:hint="eastAsia"/>
                <w:color w:val="auto"/>
                <w:highlight w:val="auto"/>
              </w:rPr>
            </w:pPr>
            <w:r>
              <w:rPr>
                <w:rFonts w:ascii="宋体" w:cs="宋体" w:hint="eastAsia"/>
                <w:color w:val="auto"/>
                <w:highlight w:val="auto"/>
              </w:rPr>
              <w:t>审核意见：</w:t>
            </w:r>
          </w:p>
          <w:p>
            <w:pPr>
              <w:pStyle w:val="101"/>
              <w:spacing w:line="400" w:lineRule="exact"/>
              <w:ind w:firstLine="435"/>
              <w:rPr>
                <w:rFonts w:ascii="宋体" w:cs="宋体" w:hint="eastAsia"/>
                <w:color w:val="auto"/>
                <w:highlight w:val="auto"/>
              </w:rPr>
            </w:pPr>
            <w:r>
              <w:rPr>
                <w:rFonts w:ascii="宋体" w:cs="宋体" w:hint="eastAsia"/>
                <w:color w:val="auto"/>
                <w:highlight w:val="auto"/>
              </w:rPr>
              <w:t>□不同意。</w:t>
            </w:r>
          </w:p>
          <w:p>
            <w:pPr>
              <w:pStyle w:val="101"/>
              <w:spacing w:line="400" w:lineRule="exact"/>
              <w:ind w:firstLineChars="200" w:firstLine="420"/>
              <w:rPr>
                <w:rFonts w:ascii="宋体" w:cs="宋体" w:hint="eastAsia"/>
                <w:color w:val="auto"/>
                <w:highlight w:val="auto"/>
              </w:rPr>
            </w:pPr>
            <w:r>
              <w:rPr>
                <w:rFonts w:ascii="宋体" w:cs="宋体" w:hint="eastAsia"/>
                <w:color w:val="auto"/>
                <w:highlight w:val="auto"/>
              </w:rPr>
              <w:t>□同意，支付时间为本表签发后的15天内。</w:t>
            </w:r>
          </w:p>
          <w:p>
            <w:pPr>
              <w:pStyle w:val="101"/>
              <w:wordWrap w:val="0"/>
              <w:spacing w:line="400" w:lineRule="exact"/>
              <w:ind w:firstLineChars="200" w:firstLine="420"/>
              <w:jc w:val="right"/>
              <w:rPr>
                <w:rFonts w:ascii="宋体" w:cs="宋体" w:hint="eastAsia"/>
                <w:color w:val="auto"/>
                <w:highlight w:val="auto"/>
              </w:rPr>
            </w:pPr>
            <w:r>
              <w:rPr>
                <w:rFonts w:ascii="宋体" w:cs="宋体" w:hint="eastAsia"/>
                <w:color w:val="auto"/>
                <w:highlight w:val="auto"/>
              </w:rPr>
              <w:t xml:space="preserve">发包人（章）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发包人代表</w:t>
            </w:r>
            <w:r>
              <w:rPr>
                <w:rFonts w:ascii="宋体" w:cs="宋体" w:hint="eastAsia"/>
                <w:color w:val="auto"/>
                <w:u w:val="single"/>
                <w:highlight w:val="auto"/>
              </w:rPr>
              <w:t xml:space="preserve">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日      期</w:t>
            </w:r>
            <w:r>
              <w:rPr>
                <w:rFonts w:ascii="宋体" w:cs="宋体" w:hint="eastAsia"/>
                <w:color w:val="auto"/>
                <w:u w:val="single"/>
                <w:highlight w:val="auto"/>
              </w:rPr>
              <w:t xml:space="preserve">             </w:t>
            </w:r>
          </w:p>
        </w:tc>
      </w:tr>
    </w:tbl>
    <w:p>
      <w:pPr>
        <w:pStyle w:val="101"/>
        <w:spacing w:beforeLines="50" w:before="120"/>
        <w:ind w:firstLineChars="200" w:firstLine="360"/>
        <w:rPr>
          <w:rFonts w:ascii="宋体" w:cs="宋体" w:hint="eastAsia"/>
          <w:color w:val="auto"/>
          <w:sz w:val="18"/>
          <w:szCs w:val="18"/>
          <w:highlight w:val="auto"/>
        </w:rPr>
      </w:pPr>
      <w:r>
        <w:rPr>
          <w:rFonts w:ascii="宋体" w:cs="宋体" w:hint="eastAsia"/>
          <w:color w:val="auto"/>
          <w:sz w:val="18"/>
          <w:szCs w:val="18"/>
          <w:highlight w:val="auto"/>
        </w:rPr>
        <w:t xml:space="preserve">注：1.在选择栏中的“□”内作标识“√”。 </w:t>
      </w:r>
    </w:p>
    <w:p>
      <w:pPr>
        <w:pStyle w:val="101"/>
        <w:spacing w:beforeLines="50" w:before="120"/>
        <w:ind w:left="720" w:hangingChars="400" w:hanging="720"/>
        <w:rPr>
          <w:rFonts w:ascii="宋体" w:cs="宋体" w:hint="eastAsia"/>
          <w:color w:val="auto"/>
          <w:sz w:val="18"/>
          <w:szCs w:val="18"/>
          <w:highlight w:val="auto"/>
        </w:rPr>
      </w:pPr>
      <w:r>
        <w:rPr>
          <w:rFonts w:ascii="宋体" w:cs="宋体" w:hint="eastAsia"/>
          <w:color w:val="auto"/>
          <w:sz w:val="18"/>
          <w:szCs w:val="18"/>
          <w:highlight w:val="auto"/>
        </w:rPr>
        <w:t xml:space="preserve">        2.本表一式四份，由承包人填报，发包人、监理人、造价咨询人、承包人各存一份。</w:t>
      </w:r>
    </w:p>
    <w:p>
      <w:pPr>
        <w:pStyle w:val="101"/>
        <w:jc w:val="left"/>
        <w:rPr>
          <w:rFonts w:ascii="宋体" w:cs="宋体" w:hint="eastAsia"/>
          <w:color w:val="auto"/>
          <w:sz w:val="30"/>
          <w:szCs w:val="30"/>
          <w:highlight w:val="auto"/>
        </w:rPr>
      </w:pPr>
      <w:r>
        <w:rPr>
          <w:rFonts w:ascii="宋体" w:cs="宋体" w:hint="eastAsia"/>
          <w:color w:val="auto"/>
          <w:sz w:val="30"/>
          <w:szCs w:val="30"/>
          <w:highlight w:val="auto"/>
        </w:rPr>
        <w:br w:type="page"/>
        <w:t>附件</w:t>
      </w:r>
      <w:r>
        <w:rPr>
          <w:rFonts w:ascii="宋体" w:cs="宋体" w:hint="eastAsia"/>
          <w:color w:val="auto"/>
          <w:sz w:val="30"/>
          <w:szCs w:val="30"/>
          <w:lang w:val="en-US" w:eastAsia="zh-CN"/>
          <w:highlight w:val="auto"/>
        </w:rPr>
        <w:t>7</w:t>
      </w:r>
      <w:r>
        <w:rPr>
          <w:rFonts w:ascii="宋体" w:cs="宋体" w:hint="eastAsia"/>
          <w:color w:val="auto"/>
          <w:sz w:val="30"/>
          <w:szCs w:val="30"/>
          <w:highlight w:val="auto"/>
        </w:rPr>
        <w:t>：</w:t>
      </w:r>
    </w:p>
    <w:p>
      <w:pPr>
        <w:pStyle w:val="101"/>
        <w:jc w:val="center"/>
        <w:rPr>
          <w:rFonts w:ascii="宋体" w:cs="宋体" w:hint="eastAsia"/>
          <w:b/>
          <w:color w:val="auto"/>
          <w:sz w:val="36"/>
          <w:szCs w:val="36"/>
          <w:highlight w:val="auto"/>
        </w:rPr>
      </w:pPr>
      <w:r>
        <w:rPr>
          <w:rFonts w:ascii="宋体" w:cs="宋体" w:hint="eastAsia"/>
          <w:b/>
          <w:color w:val="auto"/>
          <w:sz w:val="36"/>
          <w:szCs w:val="36"/>
          <w:highlight w:val="auto"/>
        </w:rPr>
        <w:t>竣工结算款支付申请（核准）表</w:t>
      </w:r>
    </w:p>
    <w:p>
      <w:pPr>
        <w:pStyle w:val="101"/>
        <w:rPr>
          <w:rFonts w:ascii="宋体" w:cs="宋体" w:hint="eastAsia"/>
          <w:color w:val="auto"/>
          <w:sz w:val="24"/>
          <w:highlight w:val="auto"/>
        </w:rPr>
      </w:pPr>
      <w:r>
        <w:rPr>
          <w:rFonts w:ascii="宋体" w:cs="宋体" w:hint="eastAsia"/>
          <w:color w:val="auto"/>
          <w:sz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20"/>
        <w:gridCol w:w="4620"/>
      </w:tblGrid>
      <w:tr>
        <w:trPr>
          <w:trHeight w:val="5780"/>
        </w:trPr>
        <w:tc>
          <w:tcPr>
            <w:tcW w:w="9240" w:type="dxa"/>
            <w:gridSpan w:val="2"/>
            <w:tcBorders>
              <w:left w:val="single" w:sz="4" w:space="0" w:color="auto"/>
              <w:right w:val="single" w:sz="4" w:space="0" w:color="auto"/>
            </w:tcBorders>
            <w:noWrap/>
          </w:tcPr>
          <w:p>
            <w:pPr>
              <w:pStyle w:val="101"/>
              <w:spacing w:line="480" w:lineRule="exact"/>
              <w:ind w:leftChars="149" w:left="525" w:hangingChars="101" w:hanging="212"/>
              <w:rPr>
                <w:rFonts w:ascii="宋体" w:cs="宋体" w:hint="eastAsia"/>
                <w:color w:val="auto"/>
                <w:u w:val="single"/>
                <w:highlight w:val="auto"/>
              </w:rPr>
            </w:pPr>
            <w:r>
              <w:rPr>
                <w:rFonts w:ascii="宋体" w:cs="宋体" w:hint="eastAsia"/>
                <w:color w:val="auto"/>
                <w:highlight w:val="auto"/>
              </w:rPr>
              <w:t>致：</w:t>
            </w:r>
            <w:r>
              <w:rPr>
                <w:rFonts w:ascii="宋体" w:cs="宋体" w:hint="eastAsia"/>
                <w:color w:val="auto"/>
                <w:u w:val="single"/>
                <w:highlight w:val="auto"/>
              </w:rPr>
              <w:t xml:space="preserve">                                  （发包人全称）</w:t>
            </w:r>
          </w:p>
          <w:p>
            <w:pPr>
              <w:pStyle w:val="101"/>
              <w:spacing w:line="400" w:lineRule="exact"/>
              <w:ind w:leftChars="-2" w:left="-4" w:firstLineChars="150" w:firstLine="315"/>
              <w:rPr>
                <w:rFonts w:ascii="宋体" w:cs="宋体" w:hint="eastAsia"/>
                <w:color w:val="auto"/>
                <w:highlight w:val="auto"/>
              </w:rPr>
            </w:pPr>
            <w:r>
              <w:rPr>
                <w:rFonts w:ascii="宋体" w:cs="宋体" w:hint="eastAsia"/>
                <w:color w:val="auto"/>
                <w:highlight w:val="auto"/>
              </w:rPr>
              <w:t>我方于</w:t>
            </w:r>
            <w:r>
              <w:rPr>
                <w:rFonts w:ascii="宋体" w:cs="宋体" w:hint="eastAsia"/>
                <w:color w:val="auto"/>
                <w:u w:val="single"/>
                <w:highlight w:val="auto"/>
              </w:rPr>
              <w:t xml:space="preserve">         </w:t>
            </w:r>
            <w:r>
              <w:rPr>
                <w:rFonts w:ascii="宋体" w:cs="宋体" w:hint="eastAsia"/>
                <w:color w:val="auto"/>
                <w:highlight w:val="auto"/>
              </w:rPr>
              <w:t>至</w:t>
            </w:r>
            <w:r>
              <w:rPr>
                <w:rFonts w:ascii="宋体" w:cs="宋体" w:hint="eastAsia"/>
                <w:color w:val="auto"/>
                <w:u w:val="single"/>
                <w:highlight w:val="auto"/>
              </w:rPr>
              <w:t xml:space="preserve">          </w:t>
            </w:r>
            <w:r>
              <w:rPr>
                <w:rFonts w:ascii="宋体" w:cs="宋体" w:hint="eastAsia"/>
                <w:color w:val="auto"/>
                <w:highlight w:val="auto"/>
              </w:rPr>
              <w:t>期间已完成了合同约定的工作，根据施工合同的约定，现申请支付竣工结算的工程款额为(大写)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420"/>
              <w:gridCol w:w="1620"/>
              <w:gridCol w:w="1620"/>
              <w:gridCol w:w="1651"/>
            </w:tblGrid>
            <w:tr>
              <w:trPr>
                <w:trHeight w:val="309"/>
              </w:trPr>
              <w:tc>
                <w:tcPr>
                  <w:tcW w:w="535"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序号</w:t>
                  </w:r>
                </w:p>
              </w:tc>
              <w:tc>
                <w:tcPr>
                  <w:tcW w:w="34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名      称</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申请金额（元）</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复核金额（元）</w:t>
                  </w:r>
                </w:p>
              </w:tc>
              <w:tc>
                <w:tcPr>
                  <w:tcW w:w="1651"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备注</w:t>
                  </w: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1</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竣工结算合同价款总额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2</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累计已实际支付的合同价款</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3</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应预留的质量保证金</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应支付的竣工结算款金额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bl>
          <w:p>
            <w:pPr>
              <w:pStyle w:val="101"/>
              <w:spacing w:line="400" w:lineRule="exact"/>
              <w:ind w:right="420" w:firstLine="435"/>
              <w:jc w:val="center"/>
              <w:rPr>
                <w:rFonts w:ascii="宋体" w:cs="宋体" w:hint="eastAsia"/>
                <w:color w:val="auto"/>
                <w:highlight w:val="auto"/>
              </w:rPr>
            </w:pPr>
          </w:p>
          <w:p>
            <w:pPr>
              <w:pStyle w:val="101"/>
              <w:spacing w:line="400" w:lineRule="exact"/>
              <w:ind w:right="420" w:firstLine="435"/>
              <w:jc w:val="center"/>
              <w:rPr>
                <w:rFonts w:ascii="宋体" w:cs="宋体" w:hint="eastAsia"/>
                <w:color w:val="auto"/>
                <w:highlight w:val="auto"/>
              </w:rPr>
            </w:pPr>
            <w:r>
              <w:rPr>
                <w:rFonts w:ascii="宋体" w:cs="宋体" w:hint="eastAsia"/>
                <w:color w:val="auto"/>
                <w:highlight w:val="auto"/>
              </w:rPr>
              <w:t xml:space="preserve">                                            承包人（章）             </w:t>
            </w:r>
          </w:p>
          <w:p>
            <w:pPr>
              <w:pStyle w:val="101"/>
              <w:spacing w:line="400" w:lineRule="exact"/>
              <w:ind w:right="420" w:firstLine="435"/>
              <w:rPr>
                <w:rFonts w:ascii="宋体" w:cs="宋体" w:hint="eastAsia"/>
                <w:color w:val="auto"/>
                <w:highlight w:val="auto"/>
              </w:rPr>
            </w:pPr>
            <w:r>
              <w:rPr>
                <w:rFonts w:ascii="宋体" w:cs="宋体" w:hint="eastAsia"/>
                <w:color w:val="auto"/>
                <w:highlight w:val="auto"/>
              </w:rPr>
              <w:t>造价人员</w:t>
            </w:r>
            <w:r>
              <w:rPr>
                <w:rFonts w:ascii="宋体" w:cs="宋体" w:hint="eastAsia"/>
                <w:color w:val="auto"/>
                <w:u w:val="single"/>
                <w:highlight w:val="auto"/>
              </w:rPr>
              <w:t xml:space="preserve">               </w:t>
            </w:r>
            <w:r>
              <w:rPr>
                <w:rFonts w:ascii="宋体" w:cs="宋体" w:hint="eastAsia"/>
                <w:color w:val="auto"/>
                <w:highlight w:val="auto"/>
              </w:rPr>
              <w:t>承包人代表</w:t>
            </w:r>
            <w:r>
              <w:rPr>
                <w:rFonts w:ascii="宋体" w:cs="宋体" w:hint="eastAsia"/>
                <w:color w:val="auto"/>
                <w:u w:val="single"/>
                <w:highlight w:val="auto"/>
              </w:rPr>
              <w:t xml:space="preserve">               </w:t>
            </w:r>
            <w:r>
              <w:rPr>
                <w:rFonts w:ascii="宋体" w:cs="宋体" w:hint="eastAsia"/>
                <w:color w:val="auto"/>
                <w:highlight w:val="auto"/>
              </w:rPr>
              <w:t>日      期</w:t>
            </w:r>
            <w:r>
              <w:rPr>
                <w:rFonts w:ascii="宋体" w:cs="宋体" w:hint="eastAsia"/>
                <w:color w:val="auto"/>
                <w:u w:val="single"/>
                <w:highlight w:val="auto"/>
              </w:rPr>
              <w:t xml:space="preserve">               </w:t>
            </w:r>
          </w:p>
        </w:tc>
      </w:tr>
      <w:tr>
        <w:trPr>
          <w:trHeight w:val="2960"/>
        </w:trPr>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□与实际施工情况不相符，修改意见见附件。</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□与实际施工情况相符，具体金额由造价工程师复核。</w:t>
            </w:r>
          </w:p>
          <w:p>
            <w:pPr>
              <w:pStyle w:val="101"/>
              <w:spacing w:line="360" w:lineRule="exact"/>
              <w:ind w:firstLine="435"/>
              <w:jc w:val="right"/>
              <w:rPr>
                <w:rFonts w:ascii="宋体" w:cs="宋体" w:hint="eastAsia"/>
                <w:color w:val="auto"/>
                <w:highlight w:val="auto"/>
              </w:rPr>
            </w:pPr>
          </w:p>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监理工程师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435"/>
              <w:rPr>
                <w:rFonts w:ascii="宋体" w:cs="宋体" w:hint="eastAsia"/>
                <w:color w:val="auto"/>
                <w:u w:val="single"/>
                <w:highlight w:val="auto"/>
              </w:rPr>
            </w:pPr>
            <w:r>
              <w:rPr>
                <w:rFonts w:ascii="宋体" w:cs="宋体" w:hint="eastAsia"/>
                <w:color w:val="auto"/>
                <w:highlight w:val="auto"/>
              </w:rPr>
              <w:t>你方提出的竣工结算支付申请经复核，竣工结算款总额为(大写)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 xml:space="preserve"> 元，扣除前期支付以及质量保证金后应支付金额为（大写）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w:t>
            </w: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造价工程师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r>
      <w:tr>
        <w:trPr>
          <w:trHeight w:val="2171"/>
        </w:trPr>
        <w:tc>
          <w:tcPr>
            <w:tcW w:w="9240" w:type="dxa"/>
            <w:gridSpan w:val="2"/>
            <w:tcBorders>
              <w:top w:val="single" w:sz="4" w:space="0" w:color="auto"/>
              <w:left w:val="single" w:sz="4" w:space="0" w:color="auto"/>
              <w:right w:val="single" w:sz="4" w:space="0" w:color="auto"/>
            </w:tcBorders>
            <w:noWrap/>
          </w:tcPr>
          <w:p>
            <w:pPr>
              <w:pStyle w:val="101"/>
              <w:spacing w:line="400" w:lineRule="exact"/>
              <w:rPr>
                <w:rFonts w:ascii="宋体" w:cs="宋体" w:hint="eastAsia"/>
                <w:color w:val="auto"/>
                <w:highlight w:val="auto"/>
              </w:rPr>
            </w:pPr>
            <w:r>
              <w:rPr>
                <w:rFonts w:ascii="宋体" w:cs="宋体" w:hint="eastAsia"/>
                <w:color w:val="auto"/>
                <w:highlight w:val="auto"/>
              </w:rPr>
              <w:t>审核意见：</w:t>
            </w:r>
          </w:p>
          <w:p>
            <w:pPr>
              <w:pStyle w:val="101"/>
              <w:spacing w:line="400" w:lineRule="exact"/>
              <w:ind w:firstLine="435"/>
              <w:rPr>
                <w:rFonts w:ascii="宋体" w:cs="宋体" w:hint="eastAsia"/>
                <w:color w:val="auto"/>
                <w:highlight w:val="auto"/>
              </w:rPr>
            </w:pPr>
            <w:r>
              <w:rPr>
                <w:rFonts w:ascii="宋体" w:cs="宋体" w:hint="eastAsia"/>
                <w:color w:val="auto"/>
                <w:highlight w:val="auto"/>
              </w:rPr>
              <w:t>□不同意。</w:t>
            </w:r>
          </w:p>
          <w:p>
            <w:pPr>
              <w:pStyle w:val="101"/>
              <w:spacing w:line="400" w:lineRule="exact"/>
              <w:ind w:firstLineChars="200" w:firstLine="420"/>
              <w:rPr>
                <w:rFonts w:ascii="宋体" w:cs="宋体" w:hint="eastAsia"/>
                <w:color w:val="auto"/>
                <w:highlight w:val="auto"/>
              </w:rPr>
            </w:pPr>
            <w:r>
              <w:rPr>
                <w:rFonts w:ascii="宋体" w:cs="宋体" w:hint="eastAsia"/>
                <w:color w:val="auto"/>
                <w:highlight w:val="auto"/>
              </w:rPr>
              <w:t>□同意，支付时间为本表签发后的15天内。</w:t>
            </w:r>
          </w:p>
          <w:p>
            <w:pPr>
              <w:pStyle w:val="359"/>
              <w:spacing w:line="400" w:lineRule="exact"/>
              <w:rPr>
                <w:rFonts w:ascii="宋体" w:cs="宋体" w:hint="eastAsia"/>
                <w:color w:val="auto"/>
                <w:highlight w:val="auto"/>
              </w:rPr>
            </w:pPr>
            <w:r>
              <w:rPr>
                <w:rFonts w:ascii="宋体" w:cs="宋体" w:hint="eastAsia"/>
                <w:color w:val="auto"/>
                <w:highlight w:val="auto"/>
              </w:rPr>
              <w:t xml:space="preserve">发包人（章）           </w:t>
            </w:r>
          </w:p>
          <w:p>
            <w:pPr>
              <w:pStyle w:val="101"/>
              <w:wordWrap w:val="0"/>
              <w:spacing w:line="400" w:lineRule="exact"/>
              <w:rPr>
                <w:rFonts w:ascii="宋体" w:cs="宋体" w:hint="eastAsia"/>
                <w:color w:val="auto"/>
                <w:u w:val="single"/>
                <w:highlight w:val="auto"/>
              </w:rPr>
            </w:pPr>
            <w:r>
              <w:rPr>
                <w:rFonts w:ascii="宋体" w:cs="宋体" w:hint="eastAsia"/>
                <w:color w:val="auto"/>
                <w:highlight w:val="auto"/>
              </w:rPr>
              <w:t>发包人代表</w:t>
            </w:r>
            <w:r>
              <w:rPr>
                <w:rFonts w:ascii="宋体" w:cs="宋体" w:hint="eastAsia"/>
                <w:color w:val="auto"/>
                <w:u w:val="single"/>
                <w:highlight w:val="auto"/>
              </w:rPr>
              <w:t xml:space="preserve">             </w:t>
            </w:r>
          </w:p>
          <w:p>
            <w:pPr>
              <w:pStyle w:val="101"/>
              <w:wordWrap w:val="0"/>
              <w:spacing w:line="400" w:lineRule="exact"/>
              <w:rPr>
                <w:rFonts w:ascii="宋体" w:cs="宋体" w:hint="eastAsia"/>
                <w:color w:val="auto"/>
                <w:u w:val="single"/>
                <w:highlight w:val="auto"/>
              </w:rPr>
            </w:pPr>
            <w:r>
              <w:rPr>
                <w:rFonts w:ascii="宋体" w:cs="宋体" w:hint="eastAsia"/>
                <w:color w:val="auto"/>
                <w:highlight w:val="auto"/>
              </w:rPr>
              <w:t>日      期</w:t>
            </w:r>
            <w:r>
              <w:rPr>
                <w:rFonts w:ascii="宋体" w:cs="宋体" w:hint="eastAsia"/>
                <w:color w:val="auto"/>
                <w:u w:val="single"/>
                <w:highlight w:val="auto"/>
              </w:rPr>
              <w:t xml:space="preserve">             </w:t>
            </w:r>
          </w:p>
        </w:tc>
      </w:tr>
    </w:tbl>
    <w:p>
      <w:pPr>
        <w:pStyle w:val="101"/>
        <w:spacing w:beforeLines="50" w:before="120"/>
        <w:ind w:firstLineChars="200" w:firstLine="360"/>
        <w:rPr>
          <w:rFonts w:ascii="宋体" w:cs="宋体" w:hint="eastAsia"/>
          <w:color w:val="auto"/>
          <w:sz w:val="18"/>
          <w:szCs w:val="18"/>
          <w:highlight w:val="auto"/>
        </w:rPr>
      </w:pPr>
      <w:r>
        <w:rPr>
          <w:rFonts w:ascii="宋体" w:cs="宋体" w:hint="eastAsia"/>
          <w:color w:val="auto"/>
          <w:sz w:val="18"/>
          <w:szCs w:val="18"/>
          <w:highlight w:val="auto"/>
        </w:rPr>
        <w:t xml:space="preserve">注：1.在选择栏中的“□”内作标识“√”。 </w:t>
      </w:r>
    </w:p>
    <w:p>
      <w:pPr>
        <w:pStyle w:val="101"/>
        <w:spacing w:beforeLines="50" w:before="120"/>
        <w:ind w:left="720" w:hangingChars="400" w:hanging="720"/>
        <w:jc w:val="left"/>
        <w:rPr>
          <w:rFonts w:ascii="宋体" w:cs="宋体" w:hint="eastAsia"/>
          <w:color w:val="auto"/>
          <w:highlight w:val="auto"/>
        </w:rPr>
      </w:pPr>
      <w:r>
        <w:rPr>
          <w:rFonts w:ascii="宋体" w:cs="宋体" w:hint="eastAsia"/>
          <w:color w:val="auto"/>
          <w:sz w:val="18"/>
          <w:szCs w:val="18"/>
          <w:highlight w:val="auto"/>
        </w:rPr>
        <w:t xml:space="preserve">        2.本表一式四份，由承包人填报，发包人、监理人、造价咨询人、承包人各存一份。</w:t>
      </w:r>
    </w:p>
    <w:p>
      <w:pPr>
        <w:pStyle w:val="101"/>
        <w:jc w:val="left"/>
        <w:rPr>
          <w:rFonts w:ascii="宋体" w:cs="宋体" w:hint="eastAsia"/>
          <w:b/>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8</w:t>
      </w:r>
      <w:r>
        <w:rPr>
          <w:rFonts w:ascii="宋体" w:cs="宋体" w:hint="eastAsia"/>
          <w:color w:val="auto"/>
          <w:sz w:val="30"/>
          <w:szCs w:val="30"/>
          <w:highlight w:val="auto"/>
        </w:rPr>
        <w:t>：</w:t>
      </w:r>
    </w:p>
    <w:p>
      <w:pPr>
        <w:pStyle w:val="101"/>
        <w:jc w:val="center"/>
        <w:rPr>
          <w:rFonts w:ascii="宋体" w:cs="宋体" w:hint="eastAsia"/>
          <w:b/>
          <w:color w:val="auto"/>
          <w:sz w:val="36"/>
          <w:szCs w:val="36"/>
          <w:highlight w:val="auto"/>
        </w:rPr>
      </w:pPr>
      <w:r>
        <w:rPr>
          <w:rFonts w:ascii="宋体" w:cs="宋体" w:hint="eastAsia"/>
          <w:b/>
          <w:color w:val="auto"/>
          <w:sz w:val="36"/>
          <w:szCs w:val="36"/>
          <w:highlight w:val="auto"/>
        </w:rPr>
        <w:t>最终结算款支付申请（核准）表</w:t>
      </w:r>
    </w:p>
    <w:p>
      <w:pPr>
        <w:pStyle w:val="101"/>
        <w:rPr>
          <w:rFonts w:ascii="宋体" w:cs="宋体" w:hint="eastAsia"/>
          <w:color w:val="auto"/>
          <w:sz w:val="24"/>
          <w:highlight w:val="auto"/>
        </w:rPr>
      </w:pPr>
      <w:r>
        <w:rPr>
          <w:rFonts w:ascii="宋体" w:cs="宋体" w:hint="eastAsia"/>
          <w:color w:val="auto"/>
          <w:sz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20"/>
        <w:gridCol w:w="4620"/>
      </w:tblGrid>
      <w:tr>
        <w:trPr>
          <w:trHeight w:val="5794"/>
        </w:trPr>
        <w:tc>
          <w:tcPr>
            <w:tcW w:w="9240" w:type="dxa"/>
            <w:gridSpan w:val="2"/>
            <w:tcBorders>
              <w:left w:val="single" w:sz="4" w:space="0" w:color="auto"/>
              <w:right w:val="single" w:sz="4" w:space="0" w:color="auto"/>
            </w:tcBorders>
            <w:noWrap/>
          </w:tcPr>
          <w:p>
            <w:pPr>
              <w:pStyle w:val="101"/>
              <w:spacing w:line="480" w:lineRule="exact"/>
              <w:ind w:leftChars="149" w:left="525" w:hangingChars="101" w:hanging="212"/>
              <w:rPr>
                <w:rFonts w:ascii="宋体" w:cs="宋体" w:hint="eastAsia"/>
                <w:color w:val="auto"/>
                <w:u w:val="single"/>
                <w:highlight w:val="auto"/>
              </w:rPr>
            </w:pPr>
            <w:r>
              <w:rPr>
                <w:rFonts w:ascii="宋体" w:cs="宋体" w:hint="eastAsia"/>
                <w:color w:val="auto"/>
                <w:highlight w:val="auto"/>
              </w:rPr>
              <w:t>致：</w:t>
            </w:r>
            <w:r>
              <w:rPr>
                <w:rFonts w:ascii="宋体" w:cs="宋体" w:hint="eastAsia"/>
                <w:color w:val="auto"/>
                <w:u w:val="single"/>
                <w:highlight w:val="auto"/>
              </w:rPr>
              <w:t xml:space="preserve">                                   （发包人全称）</w:t>
            </w:r>
          </w:p>
          <w:p>
            <w:pPr>
              <w:pStyle w:val="101"/>
              <w:spacing w:line="400" w:lineRule="exact"/>
              <w:ind w:leftChars="-2" w:left="-4" w:firstLineChars="150" w:firstLine="315"/>
              <w:rPr>
                <w:rFonts w:ascii="宋体" w:cs="宋体" w:hint="eastAsia"/>
                <w:color w:val="auto"/>
                <w:highlight w:val="auto"/>
              </w:rPr>
            </w:pPr>
            <w:r>
              <w:rPr>
                <w:rFonts w:ascii="宋体" w:cs="宋体" w:hint="eastAsia"/>
                <w:color w:val="auto"/>
                <w:highlight w:val="auto"/>
              </w:rPr>
              <w:t>我方于</w:t>
            </w:r>
            <w:r>
              <w:rPr>
                <w:rFonts w:ascii="宋体" w:cs="宋体" w:hint="eastAsia"/>
                <w:color w:val="auto"/>
                <w:u w:val="single"/>
                <w:highlight w:val="auto"/>
              </w:rPr>
              <w:t xml:space="preserve">         </w:t>
            </w:r>
            <w:r>
              <w:rPr>
                <w:rFonts w:ascii="宋体" w:cs="宋体" w:hint="eastAsia"/>
                <w:color w:val="auto"/>
                <w:highlight w:val="auto"/>
              </w:rPr>
              <w:t>至</w:t>
            </w:r>
            <w:r>
              <w:rPr>
                <w:rFonts w:ascii="宋体" w:cs="宋体" w:hint="eastAsia"/>
                <w:color w:val="auto"/>
                <w:u w:val="single"/>
                <w:highlight w:val="auto"/>
              </w:rPr>
              <w:t xml:space="preserve">          </w:t>
            </w:r>
            <w:r>
              <w:rPr>
                <w:rFonts w:ascii="宋体" w:cs="宋体" w:hint="eastAsia"/>
                <w:color w:val="auto"/>
                <w:highlight w:val="auto"/>
              </w:rPr>
              <w:t>期间已完成了缺陷修复工作，根据施工合同的约定，现申请支付最终结清合同款额为(大写)</w:t>
            </w:r>
            <w:r>
              <w:rPr>
                <w:rFonts w:ascii="宋体" w:cs="宋体" w:hint="eastAsia"/>
                <w:color w:val="auto"/>
                <w:u w:val="single"/>
                <w:highlight w:val="auto"/>
              </w:rPr>
              <w:t xml:space="preserve">            </w:t>
            </w:r>
            <w:r>
              <w:rPr>
                <w:rFonts w:ascii="宋体" w:cs="宋体" w:hint="eastAsia"/>
                <w:color w:val="auto"/>
                <w:highlight w:val="auto"/>
              </w:rPr>
              <w:t>元，(小写)</w:t>
            </w:r>
            <w:r>
              <w:rPr>
                <w:rFonts w:ascii="宋体" w:cs="宋体" w:hint="eastAsia"/>
                <w:color w:val="auto"/>
                <w:u w:val="single"/>
                <w:highlight w:val="auto"/>
              </w:rPr>
              <w:t xml:space="preserve">         </w:t>
            </w:r>
            <w:r>
              <w:rPr>
                <w:rFonts w:ascii="宋体" w:cs="宋体"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420"/>
              <w:gridCol w:w="1620"/>
              <w:gridCol w:w="1620"/>
              <w:gridCol w:w="1651"/>
            </w:tblGrid>
            <w:tr>
              <w:trPr>
                <w:trHeight w:val="309"/>
              </w:trPr>
              <w:tc>
                <w:tcPr>
                  <w:tcW w:w="535"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序号</w:t>
                  </w:r>
                </w:p>
              </w:tc>
              <w:tc>
                <w:tcPr>
                  <w:tcW w:w="34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名      称</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申请金额（元）</w:t>
                  </w:r>
                </w:p>
              </w:tc>
              <w:tc>
                <w:tcPr>
                  <w:tcW w:w="1620"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复核金额（元）</w:t>
                  </w:r>
                </w:p>
              </w:tc>
              <w:tc>
                <w:tcPr>
                  <w:tcW w:w="1651" w:type="dxa"/>
                  <w:tcBorders>
                    <w:left w:val="single" w:sz="4" w:space="0" w:color="auto"/>
                    <w:right w:val="single" w:sz="4" w:space="0" w:color="auto"/>
                  </w:tcBorders>
                  <w:noWrap/>
                  <w:vAlign w:val="center"/>
                </w:tcPr>
                <w:p>
                  <w:pPr>
                    <w:pStyle w:val="101"/>
                    <w:spacing w:line="280" w:lineRule="exact"/>
                    <w:jc w:val="center"/>
                    <w:rPr>
                      <w:rFonts w:ascii="宋体" w:cs="宋体" w:hint="eastAsia"/>
                      <w:color w:val="auto"/>
                      <w:highlight w:val="auto"/>
                    </w:rPr>
                  </w:pPr>
                  <w:r>
                    <w:rPr>
                      <w:rFonts w:ascii="宋体" w:cs="宋体" w:hint="eastAsia"/>
                      <w:color w:val="auto"/>
                      <w:highlight w:val="auto"/>
                    </w:rPr>
                    <w:t>备注</w:t>
                  </w: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1</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已预留的质量保证金</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2</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应增加因发包人原因造成缺陷的修复金额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3</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应扣减承包人不修复缺陷、发包人组织修复的金额</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r>
                    <w:rPr>
                      <w:rFonts w:ascii="宋体" w:cs="宋体" w:hint="eastAsia"/>
                      <w:color w:val="auto"/>
                      <w:highlight w:val="auto"/>
                    </w:rPr>
                    <w:t>4</w:t>
                  </w: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r>
                    <w:rPr>
                      <w:rFonts w:ascii="宋体" w:cs="宋体" w:hint="eastAsia"/>
                      <w:color w:val="auto"/>
                      <w:highlight w:val="auto"/>
                    </w:rPr>
                    <w:t>最终应支付的合同价款</w:t>
                  </w: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r>
              <w:tc>
                <w:tcPr>
                  <w:tcW w:w="535" w:type="dxa"/>
                  <w:tcBorders>
                    <w:top w:val="single" w:sz="4" w:space="0" w:color="auto"/>
                    <w:left w:val="single" w:sz="4" w:space="0" w:color="auto"/>
                    <w:right w:val="single" w:sz="4" w:space="0" w:color="auto"/>
                  </w:tcBorders>
                  <w:noWrap/>
                </w:tcPr>
                <w:p>
                  <w:pPr>
                    <w:pStyle w:val="101"/>
                    <w:spacing w:line="280" w:lineRule="exact"/>
                    <w:jc w:val="center"/>
                    <w:rPr>
                      <w:rFonts w:ascii="宋体" w:cs="宋体" w:hint="eastAsia"/>
                      <w:color w:val="auto"/>
                      <w:highlight w:val="auto"/>
                    </w:rPr>
                  </w:pPr>
                </w:p>
              </w:tc>
              <w:tc>
                <w:tcPr>
                  <w:tcW w:w="34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20"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c>
                <w:tcPr>
                  <w:tcW w:w="1651" w:type="dxa"/>
                  <w:tcBorders>
                    <w:top w:val="single" w:sz="4" w:space="0" w:color="auto"/>
                    <w:left w:val="single" w:sz="4" w:space="0" w:color="auto"/>
                    <w:right w:val="single" w:sz="4" w:space="0" w:color="auto"/>
                  </w:tcBorders>
                  <w:noWrap/>
                </w:tcPr>
                <w:p>
                  <w:pPr>
                    <w:pStyle w:val="101"/>
                    <w:spacing w:line="280" w:lineRule="exact"/>
                    <w:rPr>
                      <w:rFonts w:ascii="宋体" w:cs="宋体" w:hint="eastAsia"/>
                      <w:color w:val="auto"/>
                      <w:highlight w:val="auto"/>
                    </w:rPr>
                  </w:pPr>
                </w:p>
              </w:tc>
            </w:tr>
          </w:tbl>
          <w:p>
            <w:pPr>
              <w:pStyle w:val="101"/>
              <w:spacing w:line="400" w:lineRule="exact"/>
              <w:ind w:right="420" w:firstLine="435"/>
              <w:jc w:val="center"/>
              <w:rPr>
                <w:rFonts w:ascii="宋体" w:cs="宋体" w:hint="eastAsia"/>
                <w:color w:val="auto"/>
                <w:highlight w:val="auto"/>
              </w:rPr>
            </w:pPr>
            <w:r>
              <w:rPr>
                <w:rFonts w:ascii="宋体" w:cs="宋体" w:hint="eastAsia"/>
                <w:color w:val="auto"/>
                <w:highlight w:val="auto"/>
              </w:rPr>
              <w:t xml:space="preserve">                                            承包人（章）             </w:t>
            </w:r>
          </w:p>
          <w:p>
            <w:pPr>
              <w:pStyle w:val="101"/>
              <w:spacing w:line="400" w:lineRule="exact"/>
              <w:ind w:right="420" w:firstLine="435"/>
              <w:rPr>
                <w:rFonts w:ascii="宋体" w:cs="宋体" w:hint="eastAsia"/>
                <w:color w:val="auto"/>
                <w:highlight w:val="auto"/>
              </w:rPr>
            </w:pPr>
            <w:r>
              <w:rPr>
                <w:rFonts w:ascii="宋体" w:cs="宋体" w:hint="eastAsia"/>
                <w:color w:val="auto"/>
                <w:highlight w:val="auto"/>
              </w:rPr>
              <w:t>造价人员</w:t>
            </w:r>
            <w:r>
              <w:rPr>
                <w:rFonts w:ascii="宋体" w:cs="宋体" w:hint="eastAsia"/>
                <w:color w:val="auto"/>
                <w:u w:val="single"/>
                <w:highlight w:val="auto"/>
              </w:rPr>
              <w:t xml:space="preserve">               </w:t>
            </w:r>
            <w:r>
              <w:rPr>
                <w:rFonts w:ascii="宋体" w:cs="宋体" w:hint="eastAsia"/>
                <w:color w:val="auto"/>
                <w:highlight w:val="auto"/>
              </w:rPr>
              <w:t>承包人代表</w:t>
            </w:r>
            <w:r>
              <w:rPr>
                <w:rFonts w:ascii="宋体" w:cs="宋体" w:hint="eastAsia"/>
                <w:color w:val="auto"/>
                <w:u w:val="single"/>
                <w:highlight w:val="auto"/>
              </w:rPr>
              <w:t xml:space="preserve">               </w:t>
            </w:r>
            <w:r>
              <w:rPr>
                <w:rFonts w:ascii="宋体" w:cs="宋体" w:hint="eastAsia"/>
                <w:color w:val="auto"/>
                <w:highlight w:val="auto"/>
              </w:rPr>
              <w:t>日      期</w:t>
            </w:r>
            <w:r>
              <w:rPr>
                <w:rFonts w:ascii="宋体" w:cs="宋体" w:hint="eastAsia"/>
                <w:color w:val="auto"/>
                <w:u w:val="single"/>
                <w:highlight w:val="auto"/>
              </w:rPr>
              <w:t xml:space="preserve">               </w:t>
            </w:r>
          </w:p>
        </w:tc>
      </w:tr>
      <w:tr>
        <w:trPr>
          <w:trHeight w:val="2960"/>
        </w:trPr>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□与实际施工情况不相符，修改意见见附件。</w:t>
            </w:r>
          </w:p>
          <w:p>
            <w:pPr>
              <w:pStyle w:val="101"/>
              <w:spacing w:line="360" w:lineRule="exact"/>
              <w:ind w:firstLine="312"/>
              <w:rPr>
                <w:rFonts w:ascii="宋体" w:cs="宋体" w:hint="eastAsia"/>
                <w:color w:val="auto"/>
                <w:highlight w:val="auto"/>
              </w:rPr>
            </w:pPr>
            <w:r>
              <w:rPr>
                <w:rFonts w:ascii="宋体" w:cs="宋体" w:hint="eastAsia"/>
                <w:color w:val="auto"/>
                <w:highlight w:val="auto"/>
              </w:rPr>
              <w:t>□与实际施工情况相符，具体金额由造价工程师复核。</w:t>
            </w:r>
          </w:p>
          <w:p>
            <w:pPr>
              <w:pStyle w:val="101"/>
              <w:spacing w:line="360" w:lineRule="exact"/>
              <w:ind w:firstLine="435"/>
              <w:jc w:val="right"/>
              <w:rPr>
                <w:rFonts w:ascii="宋体" w:cs="宋体" w:hint="eastAsia"/>
                <w:color w:val="auto"/>
                <w:highlight w:val="auto"/>
              </w:rPr>
            </w:pPr>
          </w:p>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监理工程师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c>
          <w:tcPr>
            <w:tcW w:w="4620" w:type="dxa"/>
            <w:tcBorders>
              <w:top w:val="single" w:sz="4" w:space="0" w:color="auto"/>
              <w:left w:val="single" w:sz="4" w:space="0" w:color="auto"/>
              <w:right w:val="single" w:sz="4" w:space="0" w:color="auto"/>
            </w:tcBorders>
            <w:noWrap/>
          </w:tcPr>
          <w:p>
            <w:pPr>
              <w:pStyle w:val="101"/>
              <w:spacing w:line="360" w:lineRule="exact"/>
              <w:rPr>
                <w:rFonts w:ascii="宋体" w:cs="宋体" w:hint="eastAsia"/>
                <w:color w:val="auto"/>
                <w:highlight w:val="auto"/>
              </w:rPr>
            </w:pPr>
            <w:r>
              <w:rPr>
                <w:rFonts w:ascii="宋体" w:cs="宋体" w:hint="eastAsia"/>
                <w:color w:val="auto"/>
                <w:highlight w:val="auto"/>
              </w:rPr>
              <w:t>复核意见：</w:t>
            </w:r>
          </w:p>
          <w:p>
            <w:pPr>
              <w:pStyle w:val="101"/>
              <w:spacing w:line="360" w:lineRule="exact"/>
              <w:ind w:firstLine="435"/>
              <w:rPr>
                <w:rFonts w:ascii="宋体" w:cs="宋体" w:hint="eastAsia"/>
                <w:color w:val="auto"/>
                <w:u w:val="single"/>
                <w:highlight w:val="auto"/>
              </w:rPr>
            </w:pPr>
            <w:r>
              <w:rPr>
                <w:rFonts w:ascii="宋体" w:cs="宋体" w:hint="eastAsia"/>
                <w:color w:val="auto"/>
                <w:highlight w:val="auto"/>
              </w:rPr>
              <w:t>你方提出的支付申请经复核，最终应支付金额为（大写）</w:t>
            </w:r>
            <w:r>
              <w:rPr>
                <w:rFonts w:ascii="宋体" w:cs="宋体" w:hint="eastAsia"/>
                <w:color w:val="auto"/>
                <w:u w:val="single"/>
                <w:highlight w:val="auto"/>
              </w:rPr>
              <w:t xml:space="preserve">          </w:t>
            </w:r>
            <w:r>
              <w:rPr>
                <w:rFonts w:ascii="宋体" w:cs="宋体" w:hint="eastAsia"/>
                <w:color w:val="auto"/>
                <w:highlight w:val="auto"/>
              </w:rPr>
              <w:t xml:space="preserve">元，（小写）  </w:t>
            </w:r>
            <w:r>
              <w:rPr>
                <w:rFonts w:ascii="宋体" w:cs="宋体" w:hint="eastAsia"/>
                <w:color w:val="auto"/>
                <w:u w:val="single"/>
                <w:highlight w:val="auto"/>
              </w:rPr>
              <w:t xml:space="preserve">       </w:t>
            </w:r>
            <w:r>
              <w:rPr>
                <w:rFonts w:ascii="宋体" w:cs="宋体" w:hint="eastAsia"/>
                <w:color w:val="auto"/>
                <w:highlight w:val="auto"/>
              </w:rPr>
              <w:t>元。</w:t>
            </w: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 xml:space="preserve">    </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造价工程师</w:t>
            </w:r>
            <w:r>
              <w:rPr>
                <w:rFonts w:ascii="宋体" w:cs="宋体" w:hint="eastAsia"/>
                <w:color w:val="auto"/>
                <w:u w:val="single"/>
                <w:highlight w:val="auto"/>
              </w:rPr>
              <w:t xml:space="preserve">           </w:t>
            </w: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r>
              <w:rPr>
                <w:rFonts w:ascii="宋体" w:cs="宋体" w:hint="eastAsia"/>
                <w:color w:val="auto"/>
                <w:u w:val="single"/>
                <w:highlight w:val="auto"/>
              </w:rPr>
              <w:t xml:space="preserve">           </w:t>
            </w:r>
          </w:p>
        </w:tc>
      </w:tr>
      <w:tr>
        <w:trPr>
          <w:trHeight w:val="2171"/>
        </w:trPr>
        <w:tc>
          <w:tcPr>
            <w:tcW w:w="9240" w:type="dxa"/>
            <w:gridSpan w:val="2"/>
            <w:tcBorders>
              <w:top w:val="single" w:sz="4" w:space="0" w:color="auto"/>
              <w:left w:val="single" w:sz="4" w:space="0" w:color="auto"/>
              <w:right w:val="single" w:sz="4" w:space="0" w:color="auto"/>
            </w:tcBorders>
            <w:noWrap/>
          </w:tcPr>
          <w:p>
            <w:pPr>
              <w:pStyle w:val="101"/>
              <w:spacing w:line="400" w:lineRule="exact"/>
              <w:rPr>
                <w:rFonts w:ascii="宋体" w:cs="宋体" w:hint="eastAsia"/>
                <w:color w:val="auto"/>
                <w:highlight w:val="auto"/>
              </w:rPr>
            </w:pPr>
            <w:r>
              <w:rPr>
                <w:rFonts w:ascii="宋体" w:cs="宋体" w:hint="eastAsia"/>
                <w:color w:val="auto"/>
                <w:highlight w:val="auto"/>
              </w:rPr>
              <w:t>审核意见：</w:t>
            </w:r>
          </w:p>
          <w:p>
            <w:pPr>
              <w:pStyle w:val="101"/>
              <w:spacing w:line="400" w:lineRule="exact"/>
              <w:ind w:firstLine="435"/>
              <w:rPr>
                <w:rFonts w:ascii="宋体" w:cs="宋体" w:hint="eastAsia"/>
                <w:color w:val="auto"/>
                <w:highlight w:val="auto"/>
              </w:rPr>
            </w:pPr>
            <w:r>
              <w:rPr>
                <w:rFonts w:ascii="宋体" w:cs="宋体" w:hint="eastAsia"/>
                <w:color w:val="auto"/>
                <w:highlight w:val="auto"/>
              </w:rPr>
              <w:t>□不同意。</w:t>
            </w:r>
          </w:p>
          <w:p>
            <w:pPr>
              <w:pStyle w:val="101"/>
              <w:spacing w:line="400" w:lineRule="exact"/>
              <w:ind w:firstLineChars="200" w:firstLine="420"/>
              <w:rPr>
                <w:rFonts w:ascii="宋体" w:cs="宋体" w:hint="eastAsia"/>
                <w:color w:val="auto"/>
                <w:highlight w:val="auto"/>
              </w:rPr>
            </w:pPr>
            <w:r>
              <w:rPr>
                <w:rFonts w:ascii="宋体" w:cs="宋体" w:hint="eastAsia"/>
                <w:color w:val="auto"/>
                <w:highlight w:val="auto"/>
              </w:rPr>
              <w:t>□同意，支付时间为本表签发后的15天内。</w:t>
            </w:r>
          </w:p>
          <w:p>
            <w:pPr>
              <w:pStyle w:val="101"/>
              <w:wordWrap w:val="0"/>
              <w:spacing w:line="400" w:lineRule="exact"/>
              <w:ind w:firstLineChars="200" w:firstLine="420"/>
              <w:jc w:val="right"/>
              <w:rPr>
                <w:rFonts w:ascii="宋体" w:cs="宋体" w:hint="eastAsia"/>
                <w:color w:val="auto"/>
                <w:highlight w:val="auto"/>
              </w:rPr>
            </w:pPr>
            <w:r>
              <w:rPr>
                <w:rFonts w:ascii="宋体" w:cs="宋体" w:hint="eastAsia"/>
                <w:color w:val="auto"/>
                <w:highlight w:val="auto"/>
              </w:rPr>
              <w:t xml:space="preserve">发包人（章）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发包人代表</w:t>
            </w:r>
            <w:r>
              <w:rPr>
                <w:rFonts w:ascii="宋体" w:cs="宋体" w:hint="eastAsia"/>
                <w:color w:val="auto"/>
                <w:u w:val="single"/>
                <w:highlight w:val="auto"/>
              </w:rPr>
              <w:t xml:space="preserve">             </w:t>
            </w:r>
          </w:p>
          <w:p>
            <w:pPr>
              <w:pStyle w:val="101"/>
              <w:wordWrap w:val="0"/>
              <w:spacing w:line="400" w:lineRule="exact"/>
              <w:ind w:firstLineChars="200" w:firstLine="420"/>
              <w:jc w:val="right"/>
              <w:rPr>
                <w:rFonts w:ascii="宋体" w:cs="宋体" w:hint="eastAsia"/>
                <w:color w:val="auto"/>
                <w:u w:val="single"/>
                <w:highlight w:val="auto"/>
              </w:rPr>
            </w:pPr>
            <w:r>
              <w:rPr>
                <w:rFonts w:ascii="宋体" w:cs="宋体" w:hint="eastAsia"/>
                <w:color w:val="auto"/>
                <w:highlight w:val="auto"/>
              </w:rPr>
              <w:t>日      期</w:t>
            </w:r>
            <w:r>
              <w:rPr>
                <w:rFonts w:ascii="宋体" w:cs="宋体" w:hint="eastAsia"/>
                <w:color w:val="auto"/>
                <w:u w:val="single"/>
                <w:highlight w:val="auto"/>
              </w:rPr>
              <w:t xml:space="preserve">             </w:t>
            </w:r>
          </w:p>
        </w:tc>
      </w:tr>
    </w:tbl>
    <w:p>
      <w:pPr>
        <w:pStyle w:val="101"/>
        <w:spacing w:beforeLines="50" w:before="120" w:line="240" w:lineRule="exact"/>
        <w:ind w:firstLineChars="200" w:firstLine="360"/>
        <w:rPr>
          <w:rFonts w:ascii="宋体" w:cs="宋体" w:hint="eastAsia"/>
          <w:color w:val="auto"/>
          <w:sz w:val="18"/>
          <w:szCs w:val="18"/>
          <w:highlight w:val="auto"/>
        </w:rPr>
      </w:pPr>
      <w:r>
        <w:rPr>
          <w:rFonts w:ascii="宋体" w:cs="宋体" w:hint="eastAsia"/>
          <w:color w:val="auto"/>
          <w:sz w:val="18"/>
          <w:szCs w:val="18"/>
          <w:highlight w:val="auto"/>
        </w:rPr>
        <w:t>注：1.在选择栏中的“□”内作标识“√”。 如监理人已退场，监理工程师栏可空缺。</w:t>
      </w:r>
    </w:p>
    <w:p>
      <w:pPr>
        <w:pStyle w:val="101"/>
        <w:spacing w:beforeLines="50" w:before="120" w:line="240" w:lineRule="exact"/>
        <w:ind w:left="720" w:hangingChars="400" w:hanging="720"/>
        <w:rPr>
          <w:rFonts w:ascii="宋体" w:cs="宋体" w:hint="eastAsia"/>
          <w:color w:val="auto"/>
          <w:sz w:val="18"/>
          <w:szCs w:val="18"/>
          <w:highlight w:val="auto"/>
        </w:rPr>
      </w:pPr>
      <w:r>
        <w:rPr>
          <w:rFonts w:ascii="宋体" w:cs="宋体" w:hint="eastAsia"/>
          <w:color w:val="auto"/>
          <w:sz w:val="18"/>
          <w:szCs w:val="18"/>
          <w:highlight w:val="auto"/>
        </w:rPr>
        <w:t xml:space="preserve">        2.本表一式四份，由承包人填报，发包人、监理人、造价咨询人、承包人各存一份。</w:t>
      </w:r>
    </w:p>
    <w:p>
      <w:pPr>
        <w:pStyle w:val="101"/>
        <w:spacing w:line="360" w:lineRule="auto"/>
        <w:jc w:val="left"/>
        <w:rPr>
          <w:rFonts w:ascii="宋体" w:cs="宋体" w:hint="eastAsia"/>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9</w:t>
      </w:r>
      <w:r>
        <w:rPr>
          <w:rFonts w:ascii="宋体" w:cs="宋体" w:hint="eastAsia"/>
          <w:color w:val="auto"/>
          <w:sz w:val="30"/>
          <w:szCs w:val="30"/>
          <w:highlight w:val="auto"/>
        </w:rPr>
        <w:t>：</w:t>
      </w:r>
    </w:p>
    <w:p>
      <w:pPr>
        <w:pStyle w:val="101"/>
        <w:spacing w:line="360" w:lineRule="auto"/>
        <w:jc w:val="center"/>
        <w:rPr>
          <w:rFonts w:ascii="宋体" w:cs="宋体" w:hint="eastAsia"/>
          <w:color w:val="auto"/>
          <w:kern w:val="0"/>
          <w:sz w:val="36"/>
          <w:szCs w:val="36"/>
          <w:highlight w:val="auto"/>
        </w:rPr>
      </w:pPr>
      <w:r>
        <w:rPr>
          <w:rFonts w:ascii="宋体" w:cs="宋体" w:hint="eastAsia"/>
          <w:color w:val="auto"/>
          <w:kern w:val="0"/>
          <w:sz w:val="36"/>
          <w:szCs w:val="36"/>
          <w:highlight w:val="auto"/>
        </w:rPr>
        <w:t>总价合同进度款支付分解表</w:t>
      </w:r>
    </w:p>
    <w:p>
      <w:pPr>
        <w:pStyle w:val="101"/>
        <w:spacing w:line="360" w:lineRule="auto"/>
        <w:rPr>
          <w:rFonts w:ascii="宋体" w:cs="宋体" w:hint="eastAsia"/>
          <w:color w:val="auto"/>
          <w:kern w:val="0"/>
          <w:highlight w:val="auto"/>
        </w:rPr>
      </w:pPr>
      <w:r>
        <w:rPr>
          <w:rFonts w:ascii="宋体" w:cs="宋体" w:hint="eastAsia"/>
          <w:color w:val="auto"/>
          <w:kern w:val="0"/>
          <w:highlight w:val="auto"/>
        </w:rPr>
        <w:t>工程名称：</w:t>
      </w:r>
    </w:p>
    <w:tbl>
      <w:tblPr>
        <w:jc w:val="left"/>
        <w:tblInd w:w="0" w:type="dxa"/>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17"/>
        <w:gridCol w:w="3119"/>
        <w:gridCol w:w="675"/>
        <w:gridCol w:w="2268"/>
        <w:gridCol w:w="1276"/>
      </w:tblGrid>
      <w:tr>
        <w:tc>
          <w:tcPr>
            <w:tcW w:w="1417" w:type="dxa"/>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进度款期次</w:t>
            </w:r>
          </w:p>
        </w:tc>
        <w:tc>
          <w:tcPr>
            <w:tcW w:w="3794" w:type="dxa"/>
            <w:gridSpan w:val="2"/>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形象进度</w:t>
            </w:r>
          </w:p>
        </w:tc>
        <w:tc>
          <w:tcPr>
            <w:tcW w:w="2268" w:type="dxa"/>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进度款付款金额（元）</w:t>
            </w:r>
          </w:p>
        </w:tc>
        <w:tc>
          <w:tcPr>
            <w:tcW w:w="1276" w:type="dxa"/>
            <w:tcBorders>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备注</w:t>
            </w: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第一期</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第二期</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第三期</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c>
          <w:tcPr>
            <w:tcW w:w="1417"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r>
              <w:rPr>
                <w:rFonts w:ascii="宋体" w:cs="宋体" w:hint="eastAsia"/>
                <w:color w:val="auto"/>
                <w:kern w:val="0"/>
                <w:highlight w:val="auto"/>
              </w:rPr>
              <w:t>……</w:t>
            </w:r>
          </w:p>
        </w:tc>
        <w:tc>
          <w:tcPr>
            <w:tcW w:w="3794" w:type="dxa"/>
            <w:gridSpan w:val="2"/>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2268"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c>
          <w:tcPr>
            <w:tcW w:w="1276" w:type="dxa"/>
            <w:tcBorders>
              <w:top w:val="single" w:sz="4" w:space="0" w:color="auto"/>
              <w:left w:val="single" w:sz="4" w:space="0" w:color="auto"/>
              <w:right w:val="single" w:sz="4" w:space="0" w:color="auto"/>
            </w:tcBorders>
            <w:noWrap/>
          </w:tcPr>
          <w:p>
            <w:pPr>
              <w:pStyle w:val="101"/>
              <w:spacing w:line="360" w:lineRule="auto"/>
              <w:jc w:val="center"/>
              <w:rPr>
                <w:rFonts w:ascii="宋体" w:cs="宋体" w:hint="eastAsia"/>
                <w:color w:val="auto"/>
                <w:kern w:val="0"/>
                <w:highlight w:val="auto"/>
              </w:rPr>
            </w:pPr>
          </w:p>
        </w:tc>
      </w:tr>
      <w:tr>
        <w:trPr>
          <w:trHeight w:val="2960"/>
        </w:trPr>
        <w:tc>
          <w:tcPr>
            <w:tcW w:w="4536" w:type="dxa"/>
            <w:gridSpan w:val="2"/>
            <w:tcBorders>
              <w:top w:val="single" w:sz="4" w:space="0" w:color="auto"/>
              <w:left w:val="single" w:sz="4" w:space="0" w:color="auto"/>
              <w:right w:val="single" w:sz="4" w:space="0" w:color="auto"/>
            </w:tcBorders>
            <w:noWrap/>
          </w:tcPr>
          <w:p>
            <w:pPr>
              <w:pStyle w:val="101"/>
              <w:spacing w:line="360" w:lineRule="exact"/>
              <w:ind w:firstLine="435"/>
              <w:jc w:val="right"/>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b/>
                <w:bCs/>
                <w:color w:val="auto"/>
                <w:szCs w:val="21"/>
                <w:highlight w:val="auto"/>
              </w:rPr>
              <w:t>发包人</w:t>
            </w:r>
            <w:r>
              <w:rPr>
                <w:rFonts w:ascii="宋体" w:cs="宋体" w:hint="eastAsia"/>
                <w:color w:val="auto"/>
                <w:highlight w:val="auto"/>
              </w:rPr>
              <w:t>代表签字：</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b/>
                <w:bCs/>
                <w:color w:val="auto"/>
                <w:szCs w:val="21"/>
                <w:highlight w:val="auto"/>
              </w:rPr>
              <w:t>发包人</w:t>
            </w:r>
            <w:r>
              <w:rPr>
                <w:rFonts w:ascii="宋体" w:cs="宋体" w:hint="eastAsia"/>
                <w:color w:val="auto"/>
                <w:highlight w:val="auto"/>
              </w:rPr>
              <w:t>（盖公章）</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       </w:t>
            </w:r>
          </w:p>
        </w:tc>
        <w:tc>
          <w:tcPr>
            <w:tcW w:w="4219" w:type="dxa"/>
            <w:gridSpan w:val="3"/>
            <w:tcBorders>
              <w:top w:val="single" w:sz="4" w:space="0" w:color="auto"/>
              <w:left w:val="single" w:sz="4" w:space="0" w:color="auto"/>
              <w:right w:val="single" w:sz="4" w:space="0" w:color="auto"/>
            </w:tcBorders>
            <w:noWrap/>
          </w:tcPr>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承包人代表签字：</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highlight w:val="auto"/>
              </w:rPr>
            </w:pPr>
            <w:r>
              <w:rPr>
                <w:rFonts w:ascii="宋体" w:cs="宋体" w:hint="eastAsia"/>
                <w:color w:val="auto"/>
                <w:highlight w:val="auto"/>
              </w:rPr>
              <w:t>承包人（盖公章）</w:t>
            </w:r>
          </w:p>
          <w:p>
            <w:pPr>
              <w:pStyle w:val="101"/>
              <w:spacing w:line="360" w:lineRule="exact"/>
              <w:ind w:firstLine="435"/>
              <w:jc w:val="center"/>
              <w:rPr>
                <w:rFonts w:ascii="宋体" w:cs="宋体" w:hint="eastAsia"/>
                <w:color w:val="auto"/>
                <w:highlight w:val="auto"/>
              </w:rPr>
            </w:pPr>
          </w:p>
          <w:p>
            <w:pPr>
              <w:pStyle w:val="101"/>
              <w:spacing w:line="360" w:lineRule="exact"/>
              <w:ind w:firstLine="435"/>
              <w:jc w:val="center"/>
              <w:rPr>
                <w:rFonts w:ascii="宋体" w:cs="宋体" w:hint="eastAsia"/>
                <w:color w:val="auto"/>
                <w:u w:val="single"/>
                <w:highlight w:val="auto"/>
              </w:rPr>
            </w:pPr>
            <w:r>
              <w:rPr>
                <w:rFonts w:ascii="宋体" w:cs="宋体" w:hint="eastAsia"/>
                <w:color w:val="auto"/>
                <w:highlight w:val="auto"/>
              </w:rPr>
              <w:t xml:space="preserve">    日      期</w:t>
            </w:r>
          </w:p>
        </w:tc>
      </w:tr>
    </w:tbl>
    <w:p>
      <w:pPr>
        <w:pStyle w:val="101"/>
        <w:spacing w:line="360" w:lineRule="auto"/>
        <w:rPr>
          <w:rFonts w:ascii="宋体" w:cs="宋体" w:hint="eastAsia"/>
          <w:color w:val="auto"/>
          <w:highlight w:val="auto"/>
        </w:rPr>
      </w:pPr>
    </w:p>
    <w:p>
      <w:pPr>
        <w:pStyle w:val="101"/>
        <w:spacing w:line="360" w:lineRule="auto"/>
        <w:rPr>
          <w:rFonts w:ascii="宋体" w:cs="宋体" w:hint="eastAsia"/>
          <w:color w:val="auto"/>
          <w:highlight w:val="auto"/>
        </w:rPr>
      </w:pPr>
    </w:p>
    <w:p>
      <w:pPr>
        <w:pStyle w:val="101"/>
        <w:rPr>
          <w:rFonts w:ascii="宋体" w:cs="宋体" w:hint="eastAsia"/>
          <w:color w:val="auto"/>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center"/>
        <w:rPr>
          <w:rStyle w:val="272Char"/>
          <w:rFonts w:ascii="宋体" w:eastAsia="宋体" w:cs="宋体" w:hint="eastAsia"/>
          <w:color w:val="auto"/>
          <w:sz w:val="21"/>
          <w:szCs w:val="21"/>
          <w:highlight w:val="auto"/>
        </w:rPr>
      </w:pPr>
    </w:p>
    <w:p>
      <w:pPr>
        <w:pStyle w:val="101"/>
        <w:spacing w:line="360" w:lineRule="auto"/>
        <w:jc w:val="left"/>
        <w:rPr>
          <w:rFonts w:ascii="宋体" w:cs="宋体" w:hint="eastAsia"/>
          <w:color w:val="auto"/>
          <w:sz w:val="30"/>
          <w:szCs w:val="30"/>
          <w:highlight w:val="auto"/>
        </w:rPr>
      </w:pPr>
      <w:r>
        <w:rPr>
          <w:rFonts w:ascii="宋体" w:cs="宋体" w:hint="eastAsia"/>
          <w:color w:val="auto"/>
          <w:sz w:val="30"/>
          <w:szCs w:val="30"/>
          <w:highlight w:val="auto"/>
        </w:rPr>
        <w:t>附件</w:t>
      </w:r>
      <w:r>
        <w:rPr>
          <w:rFonts w:ascii="宋体" w:cs="宋体" w:hint="eastAsia"/>
          <w:color w:val="auto"/>
          <w:sz w:val="30"/>
          <w:szCs w:val="30"/>
          <w:lang w:val="en-US" w:eastAsia="zh-CN"/>
          <w:highlight w:val="auto"/>
        </w:rPr>
        <w:t>10</w:t>
      </w:r>
      <w:r>
        <w:rPr>
          <w:rFonts w:ascii="宋体" w:cs="宋体" w:hint="eastAsia"/>
          <w:color w:val="auto"/>
          <w:sz w:val="30"/>
          <w:szCs w:val="30"/>
          <w:highlight w:val="auto"/>
        </w:rPr>
        <w:t>：</w:t>
      </w:r>
    </w:p>
    <w:p>
      <w:pPr>
        <w:pStyle w:val="101"/>
        <w:spacing w:line="360" w:lineRule="auto"/>
        <w:jc w:val="center"/>
        <w:rPr>
          <w:rFonts w:ascii="宋体" w:cs="宋体" w:hint="eastAsia"/>
          <w:color w:val="auto"/>
          <w:kern w:val="0"/>
          <w:sz w:val="36"/>
          <w:szCs w:val="36"/>
          <w:highlight w:val="auto"/>
        </w:rPr>
      </w:pPr>
      <w:r>
        <w:rPr>
          <w:rFonts w:ascii="宋体" w:cs="宋体" w:hint="eastAsia"/>
          <w:color w:val="auto"/>
          <w:kern w:val="0"/>
          <w:sz w:val="36"/>
          <w:szCs w:val="36"/>
          <w:highlight w:val="auto"/>
        </w:rPr>
        <w:t>廉政责任书</w:t>
      </w:r>
    </w:p>
    <w:p>
      <w:pPr>
        <w:pStyle w:val="101"/>
        <w:snapToGrid w:val="0"/>
        <w:spacing w:line="360" w:lineRule="auto"/>
        <w:ind w:firstLineChars="200" w:firstLine="420"/>
        <w:rPr>
          <w:rFonts w:ascii="宋体" w:cs="宋体" w:hint="eastAsia"/>
          <w:color w:val="auto"/>
          <w:szCs w:val="21"/>
          <w:highlight w:val="auto"/>
        </w:rPr>
      </w:pPr>
    </w:p>
    <w:p>
      <w:pPr>
        <w:pStyle w:val="101"/>
        <w:snapToGrid w:val="0"/>
        <w:spacing w:line="360" w:lineRule="auto"/>
        <w:ind w:firstLineChars="200" w:firstLine="420"/>
        <w:rPr>
          <w:rFonts w:ascii="宋体" w:cs="宋体" w:hint="eastAsia"/>
          <w:color w:val="auto"/>
          <w:szCs w:val="21"/>
          <w:u w:val="single"/>
          <w:highlight w:val="auto"/>
        </w:rPr>
      </w:pPr>
      <w:r>
        <w:rPr>
          <w:rFonts w:ascii="宋体" w:cs="宋体" w:hint="eastAsia"/>
          <w:color w:val="auto"/>
          <w:szCs w:val="21"/>
          <w:highlight w:val="auto"/>
        </w:rPr>
        <w:t>根据国家有关工程建设、廉政建设的规定，为做好工程建设中的党风廉政建设，保证工程建设高效优质，保证建设资金的安全和有效使用以及投资效益，建设工程的</w:t>
      </w:r>
      <w:r>
        <w:rPr>
          <w:rFonts w:ascii="宋体" w:cs="宋体" w:hint="eastAsia"/>
          <w:color w:val="auto"/>
          <w:szCs w:val="21"/>
          <w:lang w:eastAsia="zh-CN"/>
          <w:highlight w:val="auto"/>
        </w:rPr>
        <w:t>建设单位</w:t>
      </w:r>
      <w:r>
        <w:rPr>
          <w:rFonts w:ascii="宋体" w:cs="宋体" w:hint="eastAsia"/>
          <w:color w:val="auto"/>
          <w:szCs w:val="21"/>
          <w:u w:val="single"/>
          <w:highlight w:val="auto"/>
        </w:rPr>
        <w:t xml:space="preserve">     </w:t>
      </w:r>
      <w:r>
        <w:rPr>
          <w:rFonts w:ascii="宋体" w:cs="宋体" w:hint="eastAsia"/>
          <w:color w:val="auto"/>
          <w:szCs w:val="21"/>
          <w:highlight w:val="auto"/>
        </w:rPr>
        <w:t xml:space="preserve">（以下简称“发包人”）与承包单位 </w:t>
      </w:r>
      <w:r>
        <w:rPr>
          <w:rFonts w:ascii="宋体" w:cs="宋体" w:hint="eastAsia"/>
          <w:color w:val="auto"/>
          <w:szCs w:val="21"/>
          <w:u w:val="single"/>
          <w:highlight w:val="auto"/>
        </w:rPr>
        <w:t xml:space="preserve">      </w:t>
      </w:r>
      <w:r>
        <w:rPr>
          <w:rFonts w:ascii="宋体" w:cs="宋体" w:hint="eastAsia"/>
          <w:color w:val="auto"/>
          <w:u w:val="single"/>
          <w:highlight w:val="auto"/>
        </w:rPr>
        <w:t xml:space="preserve"> </w:t>
      </w:r>
      <w:r>
        <w:rPr>
          <w:rFonts w:ascii="宋体" w:cs="宋体" w:hint="eastAsia"/>
          <w:color w:val="auto"/>
          <w:szCs w:val="21"/>
          <w:highlight w:val="auto"/>
        </w:rPr>
        <w:t>（以下简称“承包人”），特订立如下责任书。</w:t>
      </w:r>
    </w:p>
    <w:p>
      <w:pPr>
        <w:pStyle w:val="101"/>
        <w:snapToGrid w:val="0"/>
        <w:spacing w:line="360" w:lineRule="auto"/>
        <w:ind w:firstLineChars="200" w:firstLine="420"/>
        <w:rPr>
          <w:rFonts w:ascii="宋体" w:cs="宋体" w:hint="eastAsia"/>
          <w:b/>
          <w:bCs/>
          <w:color w:val="auto"/>
          <w:szCs w:val="21"/>
          <w:highlight w:val="auto"/>
        </w:rPr>
      </w:pPr>
      <w:r>
        <w:rPr>
          <w:rFonts w:ascii="宋体" w:cs="宋体" w:hint="eastAsia"/>
          <w:b/>
          <w:bCs/>
          <w:color w:val="auto"/>
          <w:szCs w:val="21"/>
          <w:highlight w:val="auto"/>
        </w:rPr>
        <w:t>1.发包人与承包人双方的权利和义务</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（1）严格遵守党和国家的有关法律法规及中纪委监察部的有关规定。</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（2）严格执行 </w:t>
      </w:r>
      <w:r>
        <w:rPr>
          <w:rFonts w:ascii="宋体" w:cs="宋体" w:hint="eastAsia"/>
          <w:color w:val="auto"/>
          <w:szCs w:val="21"/>
          <w:lang w:val="en-US" w:eastAsia="zh-CN"/>
          <w:highlight w:val="auto"/>
        </w:rPr>
        <w:t xml:space="preserve">                           </w:t>
      </w:r>
      <w:r>
        <w:rPr>
          <w:rFonts w:ascii="宋体" w:cs="宋体" w:hint="eastAsia"/>
          <w:color w:val="auto"/>
          <w:szCs w:val="21"/>
          <w:highlight w:val="auto"/>
        </w:rPr>
        <w:t>的合同文件，自觉按合同办事。</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（3）双方的业务活动坚持公开、公正、诚信、透明的原则（法律认定的商业秘密和合同文件另有规定除外），不得损害国家和集体利益，违反工程建设管理规章制度。</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（4）建立健全廉政制度，开展廉政教育，设立廉政告示牌，公布举报电话，监督并认真查处违法违纪行为。</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（5）发现任一方在业务活动中有违反廉政规定的行为，有及时提醒对方纠正的权利及义务。</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（6）发现任一方严重违反本责任书义务条款的行为，有向其上级有关部门举报、建议给予处理并要求告知处理结果的权利。</w:t>
      </w:r>
    </w:p>
    <w:p>
      <w:pPr>
        <w:pStyle w:val="101"/>
        <w:snapToGrid w:val="0"/>
        <w:spacing w:line="360" w:lineRule="auto"/>
        <w:ind w:firstLineChars="200" w:firstLine="420"/>
        <w:rPr>
          <w:rFonts w:ascii="宋体" w:cs="宋体" w:hint="eastAsia"/>
          <w:b/>
          <w:bCs/>
          <w:color w:val="auto"/>
          <w:szCs w:val="21"/>
          <w:highlight w:val="auto"/>
        </w:rPr>
      </w:pPr>
      <w:r>
        <w:rPr>
          <w:rFonts w:ascii="宋体" w:cs="宋体" w:hint="eastAsia"/>
          <w:b/>
          <w:bCs/>
          <w:color w:val="auto"/>
          <w:szCs w:val="21"/>
          <w:highlight w:val="auto"/>
        </w:rPr>
        <w:t>2.发包人的义务</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（1）发包人及其工作人员不得索要或接受乙方的礼金、有价证券和贵重物品，不得在承包人报销任何应由发包人及发包人工作人员个人支付的费用等。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（2）发包人工作人员不得参加乙方安排的超标准宴请和娱乐活动；不得接受承包人提供的通讯工具、交通工具和高档办公用品等。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（3）发包人及其工作人员不得要求或者接受承包人为其住房装修、婚丧嫁娶活动、配偶子女的工作安排以及出国出境、旅游等提供方便等。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（4）发包人工作人及其配偶、子女不得从事与发包人工程有关的材料设备供应、工程分包、劳务等经济活动等。</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（5）发包人及其工作人员不得以任何理由向承包人推荐分包单位或推销材料，不得要求承包购买合同规定外的材料和设备。</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（6）发包人工作人员要秉公办事，不准营私舞弊，不准利用职权从事各种个人有偿中介活动和安排个人施工队伍。</w:t>
      </w:r>
    </w:p>
    <w:p>
      <w:pPr>
        <w:pStyle w:val="101"/>
        <w:snapToGrid w:val="0"/>
        <w:spacing w:line="360" w:lineRule="auto"/>
        <w:ind w:firstLineChars="200" w:firstLine="420"/>
        <w:rPr>
          <w:rFonts w:ascii="宋体" w:cs="宋体" w:hint="eastAsia"/>
          <w:b/>
          <w:bCs/>
          <w:color w:val="auto"/>
          <w:szCs w:val="21"/>
          <w:highlight w:val="auto"/>
        </w:rPr>
      </w:pPr>
      <w:r>
        <w:rPr>
          <w:rFonts w:ascii="宋体" w:cs="宋体" w:hint="eastAsia"/>
          <w:color w:val="auto"/>
          <w:szCs w:val="21"/>
          <w:highlight w:val="auto"/>
        </w:rPr>
        <w:t xml:space="preserve"> </w:t>
      </w:r>
      <w:r>
        <w:rPr>
          <w:rFonts w:ascii="宋体" w:cs="宋体" w:hint="eastAsia"/>
          <w:b/>
          <w:bCs/>
          <w:color w:val="auto"/>
          <w:szCs w:val="21"/>
          <w:highlight w:val="auto"/>
        </w:rPr>
        <w:t>3.承包人义务</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（1）承包人不得以任何理由向发包人及其工作人员行贿或馈赠礼金、有价证券、贵重礼品。</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（2）承包人不得以任何名义为发包人及其工作人员报销应由甲方单位或个人支付的任何费用。</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（3）承包人不得以任何理由安排发包人工作人员参加超标准宴请及娱乐活动。</w:t>
      </w:r>
    </w:p>
    <w:p>
      <w:pPr>
        <w:pStyle w:val="101"/>
        <w:snapToGrid w:val="0"/>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（4）承包人不得为甲方单位和个人购置或提供通讯工具、交通工具和高档办公用品等。</w:t>
      </w:r>
    </w:p>
    <w:p>
      <w:pPr>
        <w:pStyle w:val="101"/>
        <w:snapToGrid w:val="0"/>
        <w:spacing w:line="360" w:lineRule="auto"/>
        <w:ind w:firstLineChars="200" w:firstLine="420"/>
        <w:rPr>
          <w:rFonts w:ascii="宋体" w:cs="宋体" w:hint="eastAsia"/>
          <w:b/>
          <w:color w:val="auto"/>
          <w:szCs w:val="21"/>
          <w:highlight w:val="auto"/>
        </w:rPr>
      </w:pPr>
      <w:r>
        <w:rPr>
          <w:rFonts w:ascii="宋体" w:cs="宋体" w:hint="eastAsia"/>
          <w:b/>
          <w:color w:val="auto"/>
          <w:szCs w:val="21"/>
          <w:highlight w:val="auto"/>
        </w:rPr>
        <w:t>4.违约责任</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（1）发包人及其工作人员违反本责任书第一、二条，按管理权限，依据有关规定给予党纪、政纪或组织处理；涉嫌犯罪的，移交司法机关追究刑事责任；给乙方单位造成经济损失的，应予以赔偿。</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2）承包人及其工作人员违反本责任书第一、三条，按管理权限，依据有关规定给予党纪、政纪或组织处理；给甲方单位造成经济损失的，应予以赔偿；情节严重的，甲方建议工程建设主管部门给予乙方一至三年内不得进入其主管的工程建设市场的处罚。</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 xml:space="preserve">    </w:t>
      </w:r>
      <w:r>
        <w:rPr>
          <w:rFonts w:ascii="宋体" w:cs="宋体" w:hint="eastAsia"/>
          <w:b/>
          <w:color w:val="auto"/>
          <w:szCs w:val="21"/>
          <w:highlight w:val="auto"/>
        </w:rPr>
        <w:t>5.双方约定</w:t>
      </w:r>
      <w:r>
        <w:rPr>
          <w:rFonts w:ascii="宋体" w:cs="宋体" w:hint="eastAsia"/>
          <w:color w:val="auto"/>
          <w:szCs w:val="21"/>
          <w:highlight w:val="auto"/>
        </w:rPr>
        <w:t>：本合同由双方或双方上级单位的纪检监察机关负责监督执行。由发包人及其上级单位的纪检监察机关约请承包人或承包人上级单位纪检监察机关对本责任书执行情况进行检查，提出在本合同规定范围内的裁定意见。</w:t>
      </w:r>
    </w:p>
    <w:p>
      <w:pPr>
        <w:pStyle w:val="101"/>
        <w:spacing w:line="360" w:lineRule="auto"/>
        <w:rPr>
          <w:rFonts w:ascii="宋体" w:cs="宋体" w:hint="eastAsia"/>
          <w:b/>
          <w:bCs/>
          <w:color w:val="auto"/>
          <w:szCs w:val="21"/>
          <w:highlight w:val="auto"/>
        </w:rPr>
      </w:pPr>
      <w:r>
        <w:rPr>
          <w:rFonts w:ascii="宋体" w:cs="宋体" w:hint="eastAsia"/>
          <w:color w:val="auto"/>
          <w:szCs w:val="21"/>
          <w:highlight w:val="auto"/>
        </w:rPr>
        <w:t xml:space="preserve">   </w:t>
      </w:r>
      <w:r>
        <w:rPr>
          <w:rFonts w:ascii="宋体" w:cs="宋体" w:hint="eastAsia"/>
          <w:b/>
          <w:bCs/>
          <w:color w:val="auto"/>
          <w:szCs w:val="21"/>
          <w:highlight w:val="auto"/>
        </w:rPr>
        <w:t xml:space="preserve"> 6.本责任书有效期为甲乙双签署之日起至该工程项目竣工验收后止。</w:t>
      </w:r>
    </w:p>
    <w:p>
      <w:pPr>
        <w:pStyle w:val="101"/>
        <w:spacing w:line="360" w:lineRule="auto"/>
        <w:rPr>
          <w:rFonts w:ascii="宋体" w:cs="宋体" w:hint="eastAsia"/>
          <w:b/>
          <w:bCs/>
          <w:color w:val="auto"/>
          <w:szCs w:val="21"/>
          <w:highlight w:val="auto"/>
        </w:rPr>
      </w:pPr>
      <w:r>
        <w:rPr>
          <w:rFonts w:ascii="宋体" w:cs="宋体" w:hint="eastAsia"/>
          <w:b/>
          <w:bCs/>
          <w:color w:val="auto"/>
          <w:szCs w:val="21"/>
          <w:highlight w:val="auto"/>
        </w:rPr>
        <w:t xml:space="preserve">    7. 本责任书作为</w:t>
      </w:r>
      <w:r>
        <w:rPr>
          <w:rFonts w:ascii="宋体" w:cs="宋体" w:hint="eastAsia"/>
          <w:b/>
          <w:bCs/>
          <w:color w:val="auto"/>
          <w:u w:val="single"/>
          <w:highlight w:val="auto"/>
        </w:rPr>
        <w:t xml:space="preserve"> </w:t>
      </w:r>
      <w:r>
        <w:rPr>
          <w:rFonts w:ascii="宋体" w:cs="宋体" w:hint="eastAsia"/>
          <w:b/>
          <w:bCs/>
          <w:color w:val="auto"/>
          <w:u w:val="single"/>
          <w:lang w:val="en-US" w:eastAsia="zh-CN"/>
          <w:highlight w:val="auto"/>
        </w:rPr>
        <w:t xml:space="preserve">                    </w:t>
      </w:r>
      <w:r>
        <w:rPr>
          <w:rFonts w:ascii="宋体" w:cs="宋体" w:hint="eastAsia"/>
          <w:b/>
          <w:bCs/>
          <w:color w:val="auto"/>
          <w:u w:val="single"/>
          <w:highlight w:val="auto"/>
        </w:rPr>
        <w:t>施工合同</w:t>
      </w:r>
      <w:r>
        <w:rPr>
          <w:rFonts w:ascii="宋体" w:cs="宋体" w:hint="eastAsia"/>
          <w:b/>
          <w:bCs/>
          <w:color w:val="auto"/>
          <w:szCs w:val="21"/>
          <w:highlight w:val="auto"/>
        </w:rPr>
        <w:t>的附件，与本合同具有同等的法律效力。</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发包人:（签章）                                     承包人:(签章)</w:t>
      </w:r>
    </w:p>
    <w:p>
      <w:pPr>
        <w:pStyle w:val="101"/>
        <w:spacing w:line="360" w:lineRule="auto"/>
        <w:rPr>
          <w:rFonts w:ascii="宋体" w:cs="宋体" w:hint="eastAsia"/>
          <w:color w:val="auto"/>
          <w:szCs w:val="21"/>
          <w:highlight w:val="auto"/>
        </w:rPr>
      </w:pP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                        </w:t>
      </w:r>
    </w:p>
    <w:p>
      <w:pPr>
        <w:pStyle w:val="101"/>
        <w:spacing w:line="360" w:lineRule="auto"/>
        <w:ind w:firstLineChars="100" w:firstLine="210"/>
        <w:rPr>
          <w:rFonts w:ascii="宋体" w:cs="宋体" w:hint="eastAsia"/>
          <w:color w:val="auto"/>
          <w:szCs w:val="21"/>
          <w:highlight w:val="auto"/>
        </w:rPr>
      </w:pPr>
      <w:r>
        <w:rPr>
          <w:rFonts w:ascii="宋体" w:cs="宋体" w:hint="eastAsia"/>
          <w:color w:val="auto"/>
          <w:szCs w:val="21"/>
          <w:highlight w:val="auto"/>
        </w:rPr>
        <w:t>年    月    日                                   年    月    日</w:t>
      </w:r>
    </w:p>
    <w:p>
      <w:pPr>
        <w:pStyle w:val="101"/>
        <w:spacing w:line="360" w:lineRule="auto"/>
        <w:ind w:left="4620" w:hangingChars="2200" w:hanging="4620"/>
        <w:rPr>
          <w:rFonts w:ascii="宋体" w:cs="宋体" w:hint="eastAsia"/>
          <w:color w:val="auto"/>
          <w:szCs w:val="21"/>
          <w:u w:val="single"/>
          <w:highlight w:val="auto"/>
        </w:rPr>
      </w:pPr>
      <w:r>
        <w:rPr>
          <w:rFonts w:ascii="宋体" w:cs="宋体" w:hint="eastAsia"/>
          <w:color w:val="auto"/>
          <w:highlight w:val="auto"/>
        </w:rPr>
        <w:t xml:space="preserve">   </w:t>
      </w:r>
    </w:p>
    <w:p>
      <w:pPr>
        <w:pStyle w:val="101"/>
        <w:rPr>
          <w:rFonts w:ascii="宋体" w:cs="宋体" w:hint="eastAsia"/>
          <w:color w:val="auto"/>
          <w:highlight w:val="auto"/>
        </w:rPr>
      </w:pPr>
    </w:p>
    <w:p>
      <w:pPr>
        <w:pStyle w:val="101"/>
        <w:rPr>
          <w:rFonts w:ascii="宋体" w:cs="宋体" w:hint="eastAsia"/>
          <w:color w:val="auto"/>
          <w:highlight w:val="auto"/>
        </w:rPr>
      </w:pPr>
    </w:p>
    <w:p>
      <w:pPr>
        <w:pStyle w:val="101"/>
        <w:spacing w:line="360" w:lineRule="auto"/>
        <w:jc w:val="left"/>
        <w:rPr>
          <w:rFonts w:ascii="宋体" w:cs="宋体" w:hint="eastAsia"/>
          <w:color w:val="auto"/>
          <w:sz w:val="30"/>
          <w:szCs w:val="30"/>
          <w:highlight w:val="auto"/>
        </w:rPr>
      </w:pPr>
    </w:p>
    <w:p>
      <w:pPr>
        <w:pStyle w:val="101"/>
        <w:spacing w:line="360" w:lineRule="auto"/>
        <w:jc w:val="left"/>
        <w:rPr>
          <w:rFonts w:ascii="宋体" w:cs="宋体" w:hint="eastAsia"/>
          <w:color w:val="auto"/>
          <w:sz w:val="30"/>
          <w:szCs w:val="30"/>
          <w:highlight w:val="auto"/>
        </w:rPr>
      </w:pPr>
      <w:r>
        <w:rPr>
          <w:rFonts w:ascii="宋体" w:cs="宋体" w:hint="eastAsia"/>
          <w:color w:val="auto"/>
          <w:sz w:val="30"/>
          <w:szCs w:val="30"/>
          <w:highlight w:val="auto"/>
        </w:rPr>
        <w:br w:type="page"/>
        <w:t>附件1</w:t>
      </w:r>
      <w:r>
        <w:rPr>
          <w:rFonts w:ascii="宋体" w:cs="宋体" w:hint="eastAsia"/>
          <w:color w:val="auto"/>
          <w:sz w:val="30"/>
          <w:szCs w:val="30"/>
          <w:lang w:val="en-US" w:eastAsia="zh-CN"/>
          <w:highlight w:val="auto"/>
        </w:rPr>
        <w:t>1</w:t>
      </w:r>
      <w:r>
        <w:rPr>
          <w:rFonts w:ascii="宋体" w:cs="宋体" w:hint="eastAsia"/>
          <w:color w:val="auto"/>
          <w:sz w:val="30"/>
          <w:szCs w:val="30"/>
          <w:highlight w:val="auto"/>
        </w:rPr>
        <w:t>：</w:t>
      </w:r>
    </w:p>
    <w:p>
      <w:pPr>
        <w:pStyle w:val="101"/>
        <w:widowControl/>
        <w:jc w:val="left"/>
        <w:rPr>
          <w:rFonts w:ascii="宋体" w:cs="宋体" w:hint="eastAsia"/>
          <w:color w:val="auto"/>
          <w:kern w:val="36"/>
          <w:sz w:val="28"/>
          <w:szCs w:val="28"/>
          <w:highlight w:val="auto"/>
        </w:rPr>
      </w:pPr>
    </w:p>
    <w:p>
      <w:pPr>
        <w:pStyle w:val="101"/>
        <w:spacing w:line="360" w:lineRule="auto"/>
        <w:jc w:val="center"/>
        <w:rPr>
          <w:rFonts w:ascii="宋体" w:cs="宋体" w:hint="eastAsia"/>
          <w:color w:val="auto"/>
          <w:kern w:val="0"/>
          <w:sz w:val="36"/>
          <w:szCs w:val="36"/>
          <w:highlight w:val="auto"/>
        </w:rPr>
      </w:pPr>
      <w:r>
        <w:rPr>
          <w:rFonts w:ascii="宋体" w:cs="宋体" w:hint="eastAsia"/>
          <w:color w:val="auto"/>
          <w:kern w:val="0"/>
          <w:sz w:val="36"/>
          <w:szCs w:val="36"/>
          <w:highlight w:val="auto"/>
        </w:rPr>
        <w:t>安全生产责任书(建设单位与施工单位)</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项目名称：</w:t>
      </w:r>
      <w:r>
        <w:rPr>
          <w:rFonts w:ascii="宋体" w:cs="宋体" w:hint="eastAsia"/>
          <w:color w:val="auto"/>
          <w:szCs w:val="21"/>
          <w:u w:val="single"/>
          <w:highlight w:val="auto"/>
        </w:rPr>
        <w:t xml:space="preserve"> </w:t>
      </w:r>
      <w:r>
        <w:rPr>
          <w:rFonts w:ascii="宋体" w:cs="宋体" w:hint="eastAsia"/>
          <w:color w:val="auto"/>
          <w:szCs w:val="21"/>
          <w:u w:val="single"/>
          <w:lang w:val="en-US" w:eastAsia="zh-CN"/>
          <w:highlight w:val="auto"/>
        </w:rPr>
        <w:t xml:space="preserve">                   </w:t>
      </w:r>
      <w:r>
        <w:rPr>
          <w:rFonts w:ascii="宋体" w:cs="宋体" w:hint="eastAsia"/>
          <w:color w:val="auto"/>
          <w:szCs w:val="21"/>
          <w:u w:val="single"/>
          <w:highlight w:val="auto"/>
        </w:rPr>
        <w:t xml:space="preserve"> </w:t>
      </w:r>
      <w:r>
        <w:rPr>
          <w:rFonts w:ascii="宋体" w:cs="宋体" w:hint="eastAsia"/>
          <w:color w:val="auto"/>
          <w:szCs w:val="21"/>
          <w:highlight w:val="auto"/>
        </w:rPr>
        <w:t xml:space="preserve">             </w:t>
      </w:r>
    </w:p>
    <w:p>
      <w:pPr>
        <w:pStyle w:val="101"/>
        <w:spacing w:line="360" w:lineRule="auto"/>
        <w:rPr>
          <w:rFonts w:ascii="宋体" w:cs="宋体" w:hint="eastAsia"/>
          <w:color w:val="auto"/>
          <w:szCs w:val="21"/>
          <w:highlight w:val="auto"/>
        </w:rPr>
      </w:pPr>
      <w:r>
        <w:rPr>
          <w:rFonts w:ascii="宋体" w:cs="宋体" w:hint="eastAsia"/>
          <w:color w:val="auto"/>
          <w:szCs w:val="21"/>
          <w:highlight w:val="auto"/>
        </w:rPr>
        <w:t>发包人（全称）：</w:t>
      </w:r>
      <w:r>
        <w:rPr>
          <w:rFonts w:ascii="宋体" w:cs="宋体" w:hint="eastAsia"/>
          <w:color w:val="auto"/>
          <w:szCs w:val="21"/>
          <w:u w:val="single"/>
          <w:highlight w:val="auto"/>
        </w:rPr>
        <w:t xml:space="preserve">               </w:t>
      </w:r>
    </w:p>
    <w:p>
      <w:pPr>
        <w:pStyle w:val="101"/>
        <w:spacing w:line="360" w:lineRule="auto"/>
        <w:rPr>
          <w:rFonts w:ascii="宋体" w:cs="宋体" w:hint="eastAsia"/>
          <w:color w:val="auto"/>
          <w:szCs w:val="21"/>
          <w:u w:val="single"/>
          <w:highlight w:val="auto"/>
        </w:rPr>
      </w:pPr>
      <w:r>
        <w:rPr>
          <w:rFonts w:ascii="宋体" w:cs="宋体" w:hint="eastAsia"/>
          <w:color w:val="auto"/>
          <w:szCs w:val="21"/>
          <w:highlight w:val="auto"/>
        </w:rPr>
        <w:t>承包人（全称）：</w:t>
      </w:r>
      <w:r>
        <w:rPr>
          <w:rFonts w:ascii="宋体" w:cs="宋体" w:hint="eastAsia"/>
          <w:color w:val="auto"/>
          <w:szCs w:val="21"/>
          <w:u w:val="single"/>
          <w:highlight w:val="auto"/>
        </w:rPr>
        <w:t xml:space="preserve">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为认真贯彻“安全第一、预防为主、综合管理”的方针，进一步加强建筑施工安全生产管理，提高施工现场管理水平，落实各级安全生产责任制，完善各类安全防护设施，防止和减少生产安全事故，保障人身和财产安全，维护社会稳定，构建和谐社会。根据中华人民共和国《建筑法》《安全生产法》《建设工程安全生产管理条例》《广西壮族自治区建筑工程安全生产管理办法》等相关法律法规，制定本建筑施工安全生产责任书，凡是发包人投资的项目，施工承包单位必须签订本责任书。</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一、发包人和承包人双方要认真贯彻执行安全生产的政策法规，强化安全意识，通过健全规章，加强防范，完善施工管理，发扬敢管、敢抓、敢处分的“三敢精神”，实现安全生产目标。</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二、安全生产责任书期限：自进场施工至工程交付为止。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三、发包人责任及义务：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1、对安全生产工作进行整体布置，管理，负责开展日常的安全生产大检查，对发现的问题及薄弱环节，督促限期整改。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2、对承包人提出的安全生产方面的问题，发包人应及时答复或三天内处理、解决。</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3、向承包人及时传达上级、地方政府部门等关于安全生产的有关文件精神。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四、承包人责任及义务：</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 xml:space="preserve">1、依法对所施工的工程安全生产工作全面负责，是安全生产第一责任人。 </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2、应建立健全安全生产责任制度和安全教育培训制度，制定安全生产规章制度和操作规程，保证安全生产条件所需资金的投入，对所承担的建设工程进行定期和专项安全检查，检查中发现隐患或违章作业应及时停业整改，如有较大安全隐患必须及时向我公司工程部汇报。</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3、认真贯彻执行国家、省、市、区有关安全生产法律、法规及相关规定，建立安全生产领导小组，健全安全生产管理网络，按照行业标准及规范组织实施。保障各项安全防护设施及时到位，施工现场的道路、围挡、大门、消防设施、临时用电、办公室及其它临时设施均必须达到标准化施工的要求。</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4、必须在施工现场建立消防安全责任制度，确定消防安全责任人，制定用火、用电、使用易燃易爆材料等各项消防安全管理制度和操作规程，设置消防水源、配备消防设施和灭火器材，并在施工现场入口处设置明显标志。</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5、工程总负责人、技术负责人、专职安全员、特殊工种人员均应具备相应资格，持证上岗。最少设置一名专职安全员，负责参与安全生产活动，并及时建立安全台帐。</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6、安全防护用品必须购置具有生产许可证、产品备案证，各项指标均应达到合格标准，严禁不合格防护用品进入施工现场，严格建立和完善劳动防护用品储存、发放台帐。</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7、应严格执行建筑工程安全分阶段核验制度。基础、主体、竣工阶段，应在自检合格的基础上报相关机构验收，合格后方可进行下道工序的施工。</w:t>
      </w:r>
    </w:p>
    <w:p>
      <w:pPr>
        <w:pStyle w:val="101"/>
        <w:spacing w:line="360" w:lineRule="auto"/>
        <w:ind w:firstLineChars="200" w:firstLine="420"/>
        <w:rPr>
          <w:rFonts w:ascii="宋体" w:cs="宋体" w:hint="eastAsia"/>
          <w:color w:val="auto"/>
          <w:szCs w:val="21"/>
          <w:highlight w:val="auto"/>
        </w:rPr>
      </w:pPr>
      <w:r>
        <w:rPr>
          <w:rFonts w:ascii="宋体" w:cs="宋体" w:hint="eastAsia"/>
          <w:color w:val="auto"/>
          <w:szCs w:val="21"/>
          <w:highlight w:val="auto"/>
        </w:rPr>
        <w:t>8、严格执行工伤事故报告和处理制度，事故发生后，应在两小时内向建筑行政主管部门及当地政府报告事故详情，保护事故现场，采取有效措施抢救人员和财产。</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发包人:（签章）                                 承包人:(签章)</w:t>
      </w:r>
    </w:p>
    <w:p>
      <w:pPr>
        <w:pStyle w:val="101"/>
        <w:spacing w:line="360" w:lineRule="auto"/>
        <w:rPr>
          <w:rFonts w:ascii="宋体" w:cs="宋体" w:hint="eastAsia"/>
          <w:color w:val="auto"/>
          <w:szCs w:val="21"/>
          <w:highlight w:val="auto"/>
        </w:rPr>
      </w:pPr>
    </w:p>
    <w:p>
      <w:pPr>
        <w:pStyle w:val="101"/>
        <w:spacing w:line="360" w:lineRule="auto"/>
        <w:rPr>
          <w:rFonts w:ascii="宋体" w:cs="宋体" w:hint="eastAsia"/>
          <w:color w:val="auto"/>
          <w:szCs w:val="21"/>
          <w:highlight w:val="auto"/>
        </w:rPr>
      </w:pPr>
      <w:r>
        <w:rPr>
          <w:rFonts w:ascii="宋体" w:cs="宋体" w:hint="eastAsia"/>
          <w:color w:val="auto"/>
          <w:szCs w:val="21"/>
          <w:highlight w:val="auto"/>
        </w:rPr>
        <w:t>责任人：                                            责任人：</w:t>
      </w:r>
    </w:p>
    <w:p>
      <w:pPr>
        <w:pStyle w:val="101"/>
        <w:spacing w:line="360" w:lineRule="auto"/>
        <w:ind w:firstLineChars="100" w:firstLine="210"/>
        <w:rPr>
          <w:rFonts w:ascii="宋体" w:cs="宋体" w:hint="eastAsia"/>
          <w:color w:val="auto"/>
          <w:szCs w:val="21"/>
          <w:highlight w:val="auto"/>
        </w:rPr>
      </w:pPr>
      <w:r>
        <w:rPr>
          <w:rFonts w:ascii="宋体" w:cs="宋体" w:hint="eastAsia"/>
          <w:color w:val="auto"/>
          <w:szCs w:val="21"/>
          <w:highlight w:val="auto"/>
        </w:rPr>
        <w:t>年    月    日                                   年    月    日</w:t>
      </w:r>
    </w:p>
    <w:p>
      <w:pPr>
        <w:pStyle w:val="103"/>
        <w:tabs>
          <w:tab w:val="left" w:pos="0"/>
        </w:tabs>
        <w:rPr>
          <w:rFonts w:hint="eastAsia"/>
        </w:rPr>
      </w:pPr>
    </w:p>
    <w:p>
      <w:pPr>
        <w:spacing w:line="480" w:lineRule="exact"/>
        <w:rPr>
          <w:rFonts w:ascii="仿宋_GB2312" w:eastAsia="仿宋_GB2312"/>
          <w:sz w:val="28"/>
          <w:szCs w:val="28"/>
        </w:rPr>
      </w:pPr>
    </w:p>
    <w:p>
      <w:pPr>
        <w:spacing w:line="480" w:lineRule="exact"/>
        <w:rPr>
          <w:rFonts w:ascii="宋体" w:hint="eastAsia"/>
          <w:b/>
          <w:sz w:val="28"/>
          <w:szCs w:val="28"/>
        </w:rPr>
      </w:pPr>
      <w:bookmarkEnd w:id="100"/>
    </w:p>
    <w:p>
      <w:pPr>
        <w:pStyle w:val="31"/>
        <w:snapToGrid w:val="0"/>
        <w:ind w:left="482" w:hanging="482"/>
        <w:jc w:val="center"/>
        <w:rPr>
          <w:rFonts w:eastAsia="楷体_GB2312"/>
          <w:b/>
          <w:sz w:val="24"/>
          <w:szCs w:val="24"/>
        </w:rPr>
      </w:pPr>
    </w:p>
    <w:p>
      <w:pPr>
        <w:pStyle w:val="31"/>
        <w:snapToGrid w:val="0"/>
        <w:spacing w:before="120" w:after="120" w:line="320" w:lineRule="exact"/>
        <w:jc w:val="center"/>
        <w:outlineLvl w:val="0"/>
        <w:rPr>
          <w:rFonts w:ascii="Times New Roman" w:cs="Times New Roman" w:hAnsi="Times New Roman"/>
          <w:sz w:val="32"/>
          <w:szCs w:val="32"/>
        </w:rPr>
      </w:pPr>
      <w:bookmarkEnd w:id="99"/>
      <w:r>
        <w:rPr>
          <w:b/>
          <w:bCs/>
          <w:kern w:val="44"/>
          <w:sz w:val="44"/>
          <w:szCs w:val="44"/>
        </w:rPr>
        <w:br w:type="page"/>
      </w:r>
      <w:bookmarkStart w:id="106" w:name="_Toc10508"/>
      <w:r>
        <w:rPr>
          <w:rFonts w:ascii="Times New Roman" w:cs="Times New Roman" w:hAnsi="Times New Roman"/>
          <w:sz w:val="32"/>
          <w:szCs w:val="32"/>
        </w:rPr>
        <w:t>第</w:t>
      </w:r>
      <w:r>
        <w:rPr>
          <w:rFonts w:ascii="Times New Roman" w:cs="Times New Roman" w:hAnsi="Times New Roman" w:hint="eastAsia"/>
          <w:sz w:val="32"/>
          <w:szCs w:val="32"/>
        </w:rPr>
        <w:t>六</w:t>
      </w:r>
      <w:r>
        <w:rPr>
          <w:rFonts w:ascii="Times New Roman" w:cs="Times New Roman" w:hAnsi="Times New Roman"/>
          <w:sz w:val="32"/>
          <w:szCs w:val="32"/>
        </w:rPr>
        <w:t>章  响应文件格式</w:t>
      </w:r>
      <w:bookmarkEnd w:id="106"/>
    </w:p>
    <w:p>
      <w:pPr>
        <w:rPr>
          <w:sz w:val="28"/>
          <w:szCs w:val="28"/>
        </w:rPr>
      </w:pPr>
      <w:bookmarkStart w:id="107" w:name="_Toc254970556"/>
      <w:bookmarkStart w:id="108" w:name="_Toc254970697"/>
    </w:p>
    <w:p>
      <w:pPr>
        <w:rPr>
          <w:sz w:val="28"/>
          <w:szCs w:val="28"/>
        </w:rPr>
      </w:pPr>
    </w:p>
    <w:p>
      <w:pPr>
        <w:snapToGrid w:val="0"/>
        <w:spacing w:beforeLines="50" w:before="120" w:after="50" w:line="440" w:lineRule="exact"/>
        <w:rPr>
          <w:bCs/>
          <w:sz w:val="24"/>
        </w:rPr>
      </w:pPr>
      <w:bookmarkStart w:id="109" w:name="_Hlk89190642"/>
      <w:r>
        <w:rPr>
          <w:rFonts w:hint="eastAsia"/>
          <w:sz w:val="28"/>
          <w:szCs w:val="28"/>
        </w:rPr>
        <w:t>注：有签字、盖章要求的应按要求签字（签章）、盖章（签章）。</w:t>
      </w:r>
      <w:bookmarkEnd w:id="107"/>
      <w:bookmarkEnd w:id="108"/>
      <w:r>
        <w:rPr>
          <w:bCs/>
          <w:sz w:val="24"/>
        </w:rPr>
        <w:t xml:space="preserve"> </w:t>
      </w:r>
    </w:p>
    <w:p>
      <w:pPr>
        <w:snapToGrid w:val="0"/>
        <w:spacing w:beforeLines="50" w:before="120" w:after="50" w:line="440" w:lineRule="exact"/>
        <w:jc w:val="left"/>
        <w:outlineLvl w:val="1"/>
        <w:rPr>
          <w:b/>
          <w:sz w:val="24"/>
        </w:rPr>
      </w:pPr>
      <w:bookmarkEnd w:id="109"/>
      <w:r>
        <w:rPr>
          <w:sz w:val="24"/>
        </w:rPr>
        <w:br w:type="page"/>
      </w:r>
      <w:bookmarkStart w:id="110" w:name="_Hlk89190719"/>
      <w:r>
        <w:rPr>
          <w:rFonts w:hint="eastAsia"/>
          <w:b/>
          <w:sz w:val="24"/>
        </w:rPr>
        <w:t>1.</w:t>
      </w:r>
      <w:r>
        <w:rPr>
          <w:b/>
          <w:sz w:val="24"/>
        </w:rPr>
        <w:t xml:space="preserve">响应文件封面格式： </w:t>
      </w:r>
    </w:p>
    <w:p>
      <w:pPr>
        <w:snapToGrid w:val="0"/>
        <w:spacing w:beforeLines="50" w:before="120" w:after="50" w:line="360" w:lineRule="exact"/>
        <w:rPr>
          <w:sz w:val="24"/>
        </w:rPr>
      </w:pPr>
    </w:p>
    <w:p>
      <w:pPr>
        <w:snapToGrid w:val="0"/>
        <w:spacing w:beforeLines="50" w:before="120" w:after="50" w:line="360" w:lineRule="exact"/>
        <w:jc w:val="center"/>
        <w:rPr>
          <w:bCs/>
          <w:sz w:val="24"/>
        </w:rPr>
      </w:pPr>
    </w:p>
    <w:p>
      <w:pPr>
        <w:snapToGrid w:val="0"/>
        <w:spacing w:beforeLines="50" w:before="120" w:after="50" w:line="360" w:lineRule="exact"/>
        <w:jc w:val="center"/>
        <w:rPr>
          <w:b/>
          <w:bCs/>
          <w:sz w:val="44"/>
          <w:szCs w:val="44"/>
        </w:rPr>
      </w:pPr>
    </w:p>
    <w:p>
      <w:pPr>
        <w:snapToGrid w:val="0"/>
        <w:spacing w:beforeLines="50" w:before="120" w:after="50" w:line="360" w:lineRule="exact"/>
        <w:jc w:val="center"/>
        <w:rPr>
          <w:b/>
          <w:bCs/>
          <w:sz w:val="44"/>
          <w:szCs w:val="44"/>
        </w:rPr>
      </w:pPr>
      <w:r>
        <w:rPr>
          <w:b/>
          <w:bCs/>
          <w:sz w:val="44"/>
          <w:szCs w:val="44"/>
        </w:rPr>
        <w:t>响应文件</w:t>
      </w:r>
    </w:p>
    <w:p>
      <w:pPr>
        <w:snapToGrid w:val="0"/>
        <w:spacing w:beforeLines="50" w:before="120" w:after="50" w:line="360" w:lineRule="exact"/>
        <w:rPr>
          <w:bCs/>
          <w:sz w:val="24"/>
        </w:rPr>
      </w:pPr>
    </w:p>
    <w:p>
      <w:pPr>
        <w:snapToGrid w:val="0"/>
        <w:spacing w:beforeLines="50" w:before="120" w:after="50" w:line="360" w:lineRule="exact"/>
        <w:ind w:firstLineChars="300" w:firstLine="720"/>
        <w:rPr>
          <w:bCs/>
          <w:sz w:val="24"/>
        </w:rPr>
      </w:pPr>
      <w:r>
        <w:rPr>
          <w:bCs/>
          <w:sz w:val="24"/>
        </w:rPr>
        <w:t xml:space="preserve">项目名称： </w:t>
      </w:r>
    </w:p>
    <w:p>
      <w:pPr>
        <w:snapToGrid w:val="0"/>
        <w:spacing w:beforeLines="50" w:before="120" w:after="50" w:line="360" w:lineRule="exact"/>
        <w:ind w:firstLineChars="300" w:firstLine="720"/>
        <w:rPr>
          <w:bCs/>
          <w:sz w:val="24"/>
        </w:rPr>
      </w:pPr>
      <w:r>
        <w:rPr>
          <w:bCs/>
          <w:sz w:val="24"/>
        </w:rPr>
        <w:t>项目编号：</w:t>
      </w:r>
    </w:p>
    <w:p>
      <w:pPr>
        <w:snapToGrid w:val="0"/>
        <w:spacing w:beforeLines="50" w:before="120" w:after="50" w:line="360" w:lineRule="exact"/>
        <w:ind w:firstLineChars="300" w:firstLine="720"/>
        <w:rPr>
          <w:bCs/>
          <w:sz w:val="24"/>
        </w:rPr>
      </w:pPr>
      <w:r>
        <w:rPr>
          <w:bCs/>
          <w:sz w:val="24"/>
        </w:rPr>
        <w:t>分标</w:t>
      </w:r>
      <w:r>
        <w:rPr>
          <w:rFonts w:hint="eastAsia"/>
          <w:bCs/>
          <w:sz w:val="24"/>
        </w:rPr>
        <w:t>号</w:t>
      </w:r>
      <w:r>
        <w:rPr>
          <w:bCs/>
          <w:sz w:val="24"/>
        </w:rPr>
        <w:t>： （若无</w:t>
      </w:r>
      <w:r>
        <w:rPr>
          <w:rFonts w:hint="eastAsia"/>
          <w:bCs/>
          <w:sz w:val="24"/>
        </w:rPr>
        <w:t>留空或写</w:t>
      </w:r>
      <w:r>
        <w:rPr>
          <w:bCs/>
          <w:sz w:val="24"/>
        </w:rPr>
        <w:t>“/”）</w:t>
      </w:r>
    </w:p>
    <w:p>
      <w:pPr>
        <w:snapToGrid w:val="0"/>
        <w:spacing w:beforeLines="50" w:before="120" w:after="50" w:line="360" w:lineRule="exact"/>
        <w:ind w:firstLineChars="300" w:firstLine="720"/>
        <w:rPr>
          <w:bCs/>
          <w:sz w:val="24"/>
        </w:rPr>
      </w:pPr>
      <w:r>
        <w:rPr>
          <w:bCs/>
          <w:sz w:val="24"/>
        </w:rPr>
        <w:t>响应文件名称：资格</w:t>
      </w:r>
      <w:r>
        <w:rPr>
          <w:rFonts w:hint="eastAsia"/>
          <w:bCs/>
          <w:sz w:val="24"/>
        </w:rPr>
        <w:t>证明</w:t>
      </w:r>
      <w:r>
        <w:rPr>
          <w:bCs/>
          <w:sz w:val="24"/>
        </w:rPr>
        <w:t>文件、商务技术文件、报价文件</w:t>
      </w:r>
    </w:p>
    <w:p>
      <w:pPr>
        <w:snapToGrid w:val="0"/>
        <w:spacing w:beforeLines="50" w:before="120" w:after="50" w:line="360" w:lineRule="exact"/>
        <w:ind w:firstLineChars="300" w:firstLine="720"/>
        <w:rPr>
          <w:bCs/>
          <w:sz w:val="24"/>
        </w:rPr>
      </w:pPr>
      <w:bookmarkEnd w:id="110"/>
      <w:r>
        <w:rPr>
          <w:bCs/>
          <w:sz w:val="24"/>
        </w:rPr>
        <w:t>供应商名称：</w:t>
      </w:r>
    </w:p>
    <w:p>
      <w:pPr>
        <w:snapToGrid w:val="0"/>
        <w:spacing w:beforeLines="50" w:before="120" w:after="50" w:line="360" w:lineRule="exact"/>
        <w:ind w:firstLineChars="300" w:firstLine="720"/>
        <w:rPr>
          <w:bCs/>
          <w:sz w:val="24"/>
        </w:rPr>
      </w:pPr>
      <w:r>
        <w:rPr>
          <w:bCs/>
          <w:sz w:val="24"/>
        </w:rPr>
        <w:t>供应商地址：</w:t>
      </w:r>
    </w:p>
    <w:p>
      <w:pPr>
        <w:pStyle w:val="15"/>
        <w:snapToGrid w:val="0"/>
        <w:spacing w:before="50" w:after="50" w:line="360" w:lineRule="exact"/>
        <w:ind w:firstLineChars="400" w:firstLine="960"/>
        <w:rPr>
          <w:bCs/>
          <w:sz w:val="24"/>
          <w:szCs w:val="24"/>
        </w:rPr>
      </w:pPr>
    </w:p>
    <w:p>
      <w:pPr>
        <w:snapToGrid w:val="0"/>
        <w:spacing w:beforeLines="50" w:before="120" w:after="50" w:line="360" w:lineRule="exact"/>
        <w:jc w:val="center"/>
        <w:rPr>
          <w:b/>
          <w:bCs/>
          <w:sz w:val="24"/>
        </w:rPr>
      </w:pPr>
      <w:r>
        <w:rPr>
          <w:sz w:val="24"/>
        </w:rPr>
        <w:t xml:space="preserve">                        年  月  日</w:t>
      </w:r>
      <w:bookmarkStart w:id="111" w:name="_Toc254970557"/>
      <w:bookmarkStart w:id="112" w:name="_Toc254970698"/>
      <w:r>
        <w:rPr>
          <w:sz w:val="24"/>
        </w:rPr>
        <w:br w:type="page"/>
      </w:r>
      <w:bookmarkEnd w:id="111"/>
      <w:bookmarkEnd w:id="112"/>
    </w:p>
    <w:p>
      <w:pPr>
        <w:snapToGrid w:val="0"/>
        <w:spacing w:beforeLines="50" w:before="120" w:after="50" w:line="440" w:lineRule="exact"/>
        <w:jc w:val="center"/>
        <w:rPr>
          <w:sz w:val="24"/>
        </w:rPr>
      </w:pPr>
    </w:p>
    <w:p>
      <w:pPr>
        <w:snapToGrid w:val="0"/>
        <w:spacing w:before="50" w:after="50" w:line="440" w:lineRule="exact"/>
        <w:ind w:firstLineChars="49" w:firstLine="137"/>
        <w:jc w:val="center"/>
        <w:rPr>
          <w:b/>
          <w:sz w:val="28"/>
          <w:szCs w:val="28"/>
        </w:rPr>
      </w:pPr>
      <w:r>
        <w:rPr>
          <w:b/>
          <w:sz w:val="28"/>
          <w:szCs w:val="28"/>
        </w:rPr>
        <w:t>目录</w:t>
      </w:r>
    </w:p>
    <w:p>
      <w:pPr>
        <w:snapToGrid w:val="0"/>
        <w:spacing w:before="50" w:after="50" w:line="440" w:lineRule="exact"/>
        <w:ind w:firstLineChars="49" w:firstLine="118"/>
        <w:jc w:val="center"/>
        <w:rPr>
          <w:b/>
          <w:sz w:val="24"/>
        </w:rPr>
      </w:pPr>
      <w:r>
        <w:rPr>
          <w:b/>
          <w:sz w:val="24"/>
        </w:rPr>
        <w:t>（</w:t>
      </w:r>
      <w:bookmarkStart w:id="113" w:name="_Hlk89190735"/>
      <w:r>
        <w:rPr>
          <w:b/>
          <w:sz w:val="24"/>
        </w:rPr>
        <w:t>需</w:t>
      </w:r>
      <w:bookmarkEnd w:id="113"/>
      <w:r>
        <w:rPr>
          <w:b/>
          <w:sz w:val="24"/>
        </w:rPr>
        <w:t>有页码）</w:t>
      </w:r>
    </w:p>
    <w:p>
      <w:pPr>
        <w:snapToGrid w:val="0"/>
        <w:spacing w:before="50" w:after="50" w:line="440" w:lineRule="exact"/>
        <w:ind w:firstLineChars="49" w:firstLine="118"/>
        <w:jc w:val="center"/>
        <w:rPr>
          <w:b/>
          <w:sz w:val="24"/>
        </w:rPr>
      </w:pPr>
      <w:r>
        <w:rPr>
          <w:b/>
          <w:sz w:val="24"/>
        </w:rPr>
        <w:br w:type="page"/>
      </w:r>
    </w:p>
    <w:p>
      <w:pPr>
        <w:snapToGrid w:val="0"/>
        <w:spacing w:beforeLines="50" w:before="120" w:after="50" w:line="440" w:lineRule="exact"/>
        <w:jc w:val="center"/>
        <w:outlineLvl w:val="1"/>
        <w:rPr>
          <w:bCs/>
          <w:sz w:val="24"/>
        </w:rPr>
      </w:pPr>
      <w:r>
        <w:rPr>
          <w:bCs/>
          <w:sz w:val="24"/>
        </w:rPr>
        <w:t>第</w:t>
      </w:r>
      <w:r>
        <w:rPr>
          <w:rFonts w:hint="eastAsia"/>
          <w:bCs/>
          <w:sz w:val="24"/>
        </w:rPr>
        <w:t>一</w:t>
      </w:r>
      <w:r>
        <w:rPr>
          <w:bCs/>
          <w:sz w:val="24"/>
        </w:rPr>
        <w:t xml:space="preserve">部分 </w:t>
      </w:r>
      <w:bookmarkStart w:id="114" w:name="_Hlk89190743"/>
      <w:r>
        <w:rPr>
          <w:bCs/>
          <w:sz w:val="24"/>
        </w:rPr>
        <w:t>资格</w:t>
      </w:r>
      <w:r>
        <w:rPr>
          <w:rFonts w:hint="eastAsia"/>
          <w:bCs/>
          <w:sz w:val="24"/>
        </w:rPr>
        <w:t>证明</w:t>
      </w:r>
      <w:r>
        <w:rPr>
          <w:bCs/>
          <w:sz w:val="24"/>
        </w:rPr>
        <w:t>文件</w:t>
      </w:r>
      <w:bookmarkEnd w:id="114"/>
    </w:p>
    <w:p>
      <w:pPr>
        <w:snapToGrid w:val="0"/>
        <w:spacing w:before="50" w:after="50" w:line="440" w:lineRule="exact"/>
        <w:ind w:firstLineChars="49" w:firstLine="157"/>
        <w:jc w:val="center"/>
        <w:rPr>
          <w:rStyle w:val="2Char"/>
          <w:rFonts w:ascii="Times New Roman" w:eastAsia="宋体" w:hAnsi="Times New Roman"/>
        </w:rPr>
      </w:pPr>
    </w:p>
    <w:p>
      <w:pPr>
        <w:snapToGrid w:val="0"/>
        <w:spacing w:beforeLines="50" w:before="120" w:after="50" w:line="440" w:lineRule="exact"/>
        <w:jc w:val="center"/>
        <w:outlineLvl w:val="1"/>
        <w:rPr>
          <w:bCs/>
          <w:sz w:val="24"/>
        </w:rPr>
      </w:pPr>
      <w:r>
        <w:rPr>
          <w:bCs/>
          <w:sz w:val="24"/>
        </w:rPr>
        <w:t>第</w:t>
      </w:r>
      <w:r>
        <w:rPr>
          <w:rFonts w:hint="eastAsia"/>
          <w:bCs/>
          <w:sz w:val="24"/>
        </w:rPr>
        <w:t>一</w:t>
      </w:r>
      <w:r>
        <w:rPr>
          <w:bCs/>
          <w:sz w:val="24"/>
        </w:rPr>
        <w:t>部分 资格</w:t>
      </w:r>
      <w:r>
        <w:rPr>
          <w:rFonts w:hint="eastAsia"/>
          <w:bCs/>
          <w:sz w:val="24"/>
        </w:rPr>
        <w:t>证明</w:t>
      </w:r>
      <w:r>
        <w:rPr>
          <w:bCs/>
          <w:sz w:val="24"/>
        </w:rPr>
        <w:t>文件</w:t>
      </w:r>
    </w:p>
    <w:p>
      <w:pPr>
        <w:snapToGrid w:val="0"/>
        <w:spacing w:before="50" w:after="50" w:line="440" w:lineRule="exact"/>
        <w:ind w:firstLineChars="49" w:firstLine="157"/>
        <w:jc w:val="center"/>
        <w:rPr>
          <w:rStyle w:val="2Char"/>
          <w:rFonts w:ascii="Times New Roman" w:eastAsia="宋体" w:hAnsi="Times New Roman"/>
        </w:rPr>
      </w:pPr>
    </w:p>
    <w:p>
      <w:pPr>
        <w:snapToGrid w:val="0"/>
        <w:spacing w:before="50" w:afterLines="50" w:after="120" w:line="400" w:lineRule="exact"/>
        <w:jc w:val="left"/>
        <w:rPr>
          <w:b/>
          <w:szCs w:val="21"/>
        </w:rPr>
      </w:pPr>
      <w:r>
        <w:rPr>
          <w:rFonts w:hint="eastAsia"/>
          <w:b/>
          <w:szCs w:val="21"/>
        </w:rPr>
        <w:t>1</w:t>
      </w:r>
      <w:r>
        <w:rPr>
          <w:b/>
          <w:szCs w:val="21"/>
        </w:rPr>
        <w:t>．响应声明书格式：</w:t>
      </w:r>
    </w:p>
    <w:p>
      <w:pPr>
        <w:snapToGrid w:val="0"/>
        <w:spacing w:beforeLines="50" w:before="120" w:after="50" w:line="360" w:lineRule="exact"/>
        <w:jc w:val="center"/>
        <w:rPr>
          <w:b/>
          <w:szCs w:val="21"/>
        </w:rPr>
      </w:pPr>
      <w:r>
        <w:rPr>
          <w:b/>
          <w:szCs w:val="21"/>
        </w:rPr>
        <w:t>响应声明书</w:t>
      </w:r>
    </w:p>
    <w:p>
      <w:pPr>
        <w:snapToGrid w:val="0"/>
        <w:spacing w:beforeLines="50" w:before="120" w:after="50" w:line="360" w:lineRule="exact"/>
        <w:jc w:val="center"/>
        <w:rPr>
          <w:szCs w:val="21"/>
        </w:rPr>
      </w:pPr>
    </w:p>
    <w:p>
      <w:pPr>
        <w:snapToGrid w:val="0"/>
        <w:spacing w:beforeLines="50" w:before="120" w:after="50" w:line="360" w:lineRule="exact"/>
        <w:rPr>
          <w:szCs w:val="21"/>
        </w:rPr>
      </w:pPr>
      <w:r>
        <w:rPr>
          <w:szCs w:val="21"/>
        </w:rPr>
        <w:t>致：</w:t>
      </w:r>
      <w:r>
        <w:rPr>
          <w:i/>
          <w:iCs/>
          <w:szCs w:val="21"/>
          <w:u w:val="single"/>
        </w:rPr>
        <w:t>（采购</w:t>
      </w:r>
      <w:r>
        <w:rPr>
          <w:rFonts w:hint="eastAsia"/>
          <w:i/>
          <w:iCs/>
          <w:szCs w:val="21"/>
          <w:u w:val="single"/>
        </w:rPr>
        <w:t>人</w:t>
      </w:r>
      <w:r>
        <w:rPr>
          <w:i/>
          <w:iCs/>
          <w:szCs w:val="21"/>
          <w:u w:val="single"/>
        </w:rPr>
        <w:t>名称）</w:t>
      </w:r>
      <w:r>
        <w:rPr>
          <w:szCs w:val="21"/>
        </w:rPr>
        <w:t>：：</w:t>
      </w:r>
    </w:p>
    <w:p>
      <w:pPr>
        <w:snapToGrid w:val="0"/>
        <w:spacing w:beforeLines="50" w:before="120" w:after="50" w:line="360" w:lineRule="exact"/>
        <w:ind w:firstLineChars="300" w:firstLine="630"/>
        <w:rPr>
          <w:szCs w:val="21"/>
        </w:rPr>
      </w:pPr>
      <w:r>
        <w:rPr>
          <w:i/>
          <w:iCs/>
          <w:szCs w:val="21"/>
          <w:u w:val="single"/>
        </w:rPr>
        <w:t>（供应商名称）</w:t>
      </w:r>
      <w:r>
        <w:rPr>
          <w:szCs w:val="21"/>
        </w:rPr>
        <w:t>系中华人民共和国合法企业，</w:t>
      </w:r>
      <w:r>
        <w:rPr>
          <w:rFonts w:hint="eastAsia"/>
          <w:szCs w:val="21"/>
          <w:u w:val="single"/>
        </w:rPr>
        <w:t xml:space="preserve"> </w:t>
      </w:r>
      <w:r>
        <w:rPr>
          <w:i/>
          <w:iCs/>
          <w:szCs w:val="21"/>
          <w:u w:val="single"/>
        </w:rPr>
        <w:t xml:space="preserve"> </w:t>
      </w:r>
      <w:r>
        <w:rPr>
          <w:rFonts w:hint="eastAsia"/>
          <w:i/>
          <w:iCs/>
          <w:szCs w:val="21"/>
          <w:u w:val="single"/>
        </w:rPr>
        <w:t>（</w:t>
      </w:r>
      <w:r>
        <w:rPr>
          <w:i/>
          <w:iCs/>
          <w:szCs w:val="21"/>
          <w:u w:val="single"/>
        </w:rPr>
        <w:t>经营地址</w:t>
      </w:r>
      <w:r>
        <w:rPr>
          <w:rFonts w:hint="eastAsia"/>
          <w:i/>
          <w:iCs/>
          <w:szCs w:val="21"/>
          <w:u w:val="single"/>
        </w:rPr>
        <w:t xml:space="preserve">） </w:t>
      </w:r>
      <w:r>
        <w:rPr>
          <w:i/>
          <w:iCs/>
          <w:szCs w:val="21"/>
          <w:u w:val="single"/>
        </w:rPr>
        <w:t xml:space="preserve"> </w:t>
      </w:r>
      <w:r>
        <w:rPr>
          <w:szCs w:val="21"/>
          <w:u w:val="single"/>
        </w:rPr>
        <w:t xml:space="preserve"> </w:t>
      </w:r>
      <w:r>
        <w:rPr>
          <w:szCs w:val="21"/>
        </w:rPr>
        <w:t>。</w:t>
      </w:r>
    </w:p>
    <w:p>
      <w:pPr>
        <w:snapToGrid w:val="0"/>
        <w:spacing w:beforeLines="50" w:before="120" w:after="50" w:line="360" w:lineRule="exact"/>
        <w:ind w:firstLine="645"/>
        <w:rPr>
          <w:szCs w:val="21"/>
        </w:rPr>
      </w:pPr>
      <w:r>
        <w:rPr>
          <w:szCs w:val="21"/>
        </w:rPr>
        <w:t>我</w:t>
      </w:r>
      <w:r>
        <w:rPr>
          <w:i/>
          <w:iCs/>
          <w:szCs w:val="21"/>
          <w:u w:val="single"/>
        </w:rPr>
        <w:t>（姓名）</w:t>
      </w:r>
      <w:r>
        <w:rPr>
          <w:rFonts w:hint="eastAsia"/>
          <w:i/>
          <w:iCs/>
          <w:szCs w:val="21"/>
          <w:u w:val="single"/>
        </w:rPr>
        <w:t xml:space="preserve"> </w:t>
      </w:r>
      <w:r>
        <w:rPr>
          <w:szCs w:val="21"/>
        </w:rPr>
        <w:t>系</w:t>
      </w:r>
      <w:r>
        <w:rPr>
          <w:i/>
          <w:iCs/>
          <w:szCs w:val="21"/>
          <w:u w:val="single"/>
        </w:rPr>
        <w:t>（供应商名称）</w:t>
      </w:r>
      <w:r>
        <w:rPr>
          <w:szCs w:val="21"/>
        </w:rPr>
        <w:t>的法定代表人，我方愿意参加贵方组织的</w:t>
      </w:r>
      <w:r>
        <w:rPr>
          <w:rFonts w:hint="eastAsia"/>
          <w:i/>
          <w:iCs/>
          <w:szCs w:val="21"/>
          <w:u w:val="single"/>
        </w:rPr>
        <w:t xml:space="preserve">（项目名称） </w:t>
      </w:r>
      <w:r>
        <w:rPr>
          <w:szCs w:val="21"/>
        </w:rPr>
        <w:t>项目的磋商，为便于贵方公正、择优地确定成交供应商及其响应内容，我方就本次磋商有关事项郑重声明如下：</w:t>
      </w:r>
    </w:p>
    <w:p>
      <w:pPr>
        <w:snapToGrid w:val="0"/>
        <w:spacing w:beforeLines="50" w:before="120" w:line="360" w:lineRule="exact"/>
        <w:ind w:firstLineChars="200" w:firstLine="420"/>
        <w:rPr>
          <w:szCs w:val="21"/>
        </w:rPr>
      </w:pPr>
      <w:r>
        <w:rPr>
          <w:szCs w:val="21"/>
        </w:rPr>
        <w:t>（1）我方向贵方提交的所有响应文件、资料都是准确的和真实的。</w:t>
      </w:r>
    </w:p>
    <w:p>
      <w:pPr>
        <w:snapToGrid w:val="0"/>
        <w:spacing w:beforeLines="50" w:before="120" w:line="360" w:lineRule="exact"/>
        <w:ind w:firstLineChars="200" w:firstLine="420"/>
        <w:rPr>
          <w:szCs w:val="21"/>
        </w:rPr>
      </w:pPr>
      <w:r>
        <w:rPr>
          <w:szCs w:val="21"/>
        </w:rPr>
        <w:t>（2）我方不是采购人的附属机构；也不是为本项目提供整体设计、规范编制或者项目管理、监理、检测等服务的供应商或其附属机构。</w:t>
      </w:r>
    </w:p>
    <w:p>
      <w:pPr>
        <w:snapToGrid w:val="0"/>
        <w:spacing w:beforeLines="50" w:before="120" w:line="360" w:lineRule="exact"/>
        <w:ind w:firstLineChars="200" w:firstLine="420"/>
        <w:rPr>
          <w:szCs w:val="21"/>
        </w:rPr>
      </w:pPr>
      <w:r>
        <w:rPr>
          <w:szCs w:val="21"/>
        </w:rPr>
        <w:t>（3） 我方承诺在参加本政府采购项目活动前，没有被纳入政府部门或银行认定的失信名单，我方具有良好的商业信誉。</w:t>
      </w:r>
    </w:p>
    <w:p>
      <w:pPr>
        <w:spacing w:line="300" w:lineRule="exact"/>
        <w:ind w:firstLineChars="200" w:firstLine="420"/>
        <w:jc w:val="left"/>
        <w:rPr>
          <w:szCs w:val="21"/>
        </w:rPr>
      </w:pPr>
      <w:r>
        <w:rPr>
          <w:szCs w:val="21"/>
        </w:rPr>
        <w:t>（4）我方及本人承诺在参加本政府采购项目活动前三年内，在经营活动中没有重大违法记录。重大违法记录是指供应商因违法经营受到刑事处罚或者责令停产停业、吊销许可证或者执照、较大数额罚款等行政处罚。如我方提供的声明不实，则自愿承担《政府采购法》有关提供虚假材料的规定给予的处罚。</w:t>
      </w:r>
    </w:p>
    <w:p>
      <w:pPr>
        <w:snapToGrid w:val="0"/>
        <w:spacing w:beforeLines="50" w:before="120" w:line="360" w:lineRule="exact"/>
        <w:ind w:firstLineChars="200" w:firstLine="420"/>
        <w:rPr>
          <w:szCs w:val="21"/>
          <w:lang w:val="zh-CN"/>
        </w:rPr>
      </w:pPr>
      <w:r>
        <w:rPr>
          <w:szCs w:val="21"/>
        </w:rPr>
        <w:t>（5）</w:t>
      </w:r>
      <w:r>
        <w:rPr>
          <w:szCs w:val="21"/>
          <w:lang w:val="zh-CN"/>
        </w:rPr>
        <w:t>我方</w:t>
      </w:r>
      <w:r>
        <w:rPr>
          <w:szCs w:val="21"/>
        </w:rPr>
        <w:t>承诺</w:t>
      </w:r>
      <w:r>
        <w:rPr>
          <w:szCs w:val="21"/>
          <w:lang w:val="zh-CN"/>
        </w:rPr>
        <w:t>具有履行本项目合同所必需的设备和专业技术能力。</w:t>
      </w:r>
    </w:p>
    <w:p>
      <w:pPr>
        <w:snapToGrid w:val="0"/>
        <w:spacing w:beforeLines="50" w:before="120" w:line="360" w:lineRule="exact"/>
        <w:ind w:firstLineChars="200" w:firstLine="420"/>
        <w:rPr>
          <w:szCs w:val="21"/>
        </w:rPr>
      </w:pPr>
      <w:r>
        <w:rPr>
          <w:rFonts w:hint="eastAsia"/>
          <w:szCs w:val="21"/>
        </w:rPr>
        <w:t>（6）我方承诺</w:t>
      </w:r>
      <w:r>
        <w:rPr>
          <w:szCs w:val="21"/>
        </w:rPr>
        <w:t>未被列入失信被执行人、</w:t>
      </w:r>
      <w:r>
        <w:rPr>
          <w:kern w:val="0"/>
          <w:szCs w:val="21"/>
        </w:rPr>
        <w:t>重大税收违法失信主体</w:t>
      </w:r>
      <w:r>
        <w:rPr>
          <w:szCs w:val="21"/>
        </w:rPr>
        <w:t>、政府采购严重违法失信行为记录名单</w:t>
      </w:r>
      <w:r>
        <w:rPr>
          <w:rFonts w:hint="eastAsia"/>
          <w:szCs w:val="21"/>
        </w:rPr>
        <w:t>，如我方提供的声明不实，则接受本次响应作为响应无效的处理，</w:t>
      </w:r>
      <w:r>
        <w:rPr>
          <w:szCs w:val="21"/>
        </w:rPr>
        <w:t>并根据财库〔2016〕125号《财政部关于在政府采购活动中查询及使用信用记录有关问题的通知》规定接受失信联合惩戒。</w:t>
      </w:r>
    </w:p>
    <w:p>
      <w:pPr>
        <w:snapToGrid w:val="0"/>
        <w:spacing w:beforeLines="50" w:before="120" w:line="360" w:lineRule="exact"/>
        <w:ind w:firstLineChars="200" w:firstLine="420"/>
        <w:rPr>
          <w:szCs w:val="21"/>
        </w:rPr>
      </w:pPr>
      <w:r>
        <w:rPr>
          <w:rFonts w:hint="eastAsia"/>
          <w:szCs w:val="21"/>
        </w:rPr>
        <w:t>（7）我方承诺成交后按</w:t>
      </w:r>
      <w:r>
        <w:rPr>
          <w:szCs w:val="21"/>
        </w:rPr>
        <w:t>规定缴纳代理服务费</w:t>
      </w:r>
      <w:r>
        <w:rPr>
          <w:rFonts w:hint="eastAsia"/>
          <w:szCs w:val="21"/>
        </w:rPr>
        <w:t>。如未按时缴纳，</w:t>
      </w:r>
      <w:r>
        <w:rPr>
          <w:szCs w:val="21"/>
        </w:rPr>
        <w:t>贵方可</w:t>
      </w:r>
      <w:r>
        <w:rPr>
          <w:rFonts w:hint="eastAsia"/>
          <w:szCs w:val="21"/>
        </w:rPr>
        <w:t>不退还</w:t>
      </w:r>
      <w:r>
        <w:rPr>
          <w:szCs w:val="21"/>
        </w:rPr>
        <w:t>我</w:t>
      </w:r>
      <w:r>
        <w:rPr>
          <w:rFonts w:hint="eastAsia"/>
          <w:szCs w:val="21"/>
        </w:rPr>
        <w:t>方</w:t>
      </w:r>
      <w:r>
        <w:rPr>
          <w:szCs w:val="21"/>
        </w:rPr>
        <w:t>提交的</w:t>
      </w:r>
      <w:r>
        <w:rPr>
          <w:rFonts w:hint="eastAsia"/>
          <w:szCs w:val="21"/>
        </w:rPr>
        <w:t>磋商</w:t>
      </w:r>
      <w:r>
        <w:rPr>
          <w:szCs w:val="21"/>
        </w:rPr>
        <w:t>保证金</w:t>
      </w:r>
      <w:r>
        <w:rPr>
          <w:rFonts w:hint="eastAsia"/>
          <w:szCs w:val="21"/>
        </w:rPr>
        <w:t>，并从中</w:t>
      </w:r>
      <w:r>
        <w:rPr>
          <w:szCs w:val="21"/>
        </w:rPr>
        <w:t>扣除</w:t>
      </w:r>
      <w:r>
        <w:rPr>
          <w:rFonts w:hint="eastAsia"/>
          <w:szCs w:val="21"/>
        </w:rPr>
        <w:t>代理服务费。</w:t>
      </w:r>
    </w:p>
    <w:p>
      <w:pPr>
        <w:snapToGrid w:val="0"/>
        <w:spacing w:beforeLines="50" w:before="120" w:line="360" w:lineRule="exact"/>
        <w:ind w:firstLineChars="200" w:firstLine="420"/>
        <w:rPr>
          <w:szCs w:val="21"/>
        </w:rPr>
      </w:pPr>
      <w:r>
        <w:rPr>
          <w:szCs w:val="21"/>
        </w:rPr>
        <w:t>我方对以上声明负全部法律责任。如有虚假或隐瞒，我方愿意承担一切后果，并不再寻求任何旨在减轻或免除法律责任的辩解。</w:t>
      </w:r>
    </w:p>
    <w:p>
      <w:pPr>
        <w:snapToGrid w:val="0"/>
        <w:spacing w:beforeLines="50" w:before="120" w:line="360" w:lineRule="exact"/>
        <w:ind w:firstLineChars="200" w:firstLine="420"/>
        <w:rPr>
          <w:szCs w:val="21"/>
        </w:rPr>
      </w:pPr>
    </w:p>
    <w:p>
      <w:pPr>
        <w:snapToGrid w:val="0"/>
        <w:spacing w:beforeLines="50" w:before="120" w:after="50" w:line="360" w:lineRule="exact"/>
        <w:ind w:firstLineChars="1700" w:firstLine="3570"/>
        <w:rPr>
          <w:szCs w:val="21"/>
        </w:rPr>
      </w:pPr>
      <w:bookmarkStart w:id="115" w:name="_Hlk89190765"/>
      <w:r>
        <w:rPr>
          <w:szCs w:val="21"/>
        </w:rPr>
        <w:t>供应商</w:t>
      </w:r>
      <w:r>
        <w:rPr>
          <w:rFonts w:hint="eastAsia"/>
          <w:szCs w:val="21"/>
        </w:rPr>
        <w:t>名称（公章）</w:t>
      </w:r>
      <w:bookmarkEnd w:id="115"/>
      <w:r>
        <w:rPr>
          <w:szCs w:val="21"/>
        </w:rPr>
        <w:t>：</w:t>
      </w:r>
      <w:r>
        <w:rPr>
          <w:szCs w:val="21"/>
          <w:u w:val="single"/>
        </w:rPr>
        <w:t xml:space="preserve">                </w:t>
      </w:r>
    </w:p>
    <w:p>
      <w:pPr>
        <w:snapToGrid w:val="0"/>
        <w:spacing w:beforeLines="50" w:before="120" w:after="50" w:line="360" w:lineRule="exact"/>
        <w:ind w:firstLineChars="100" w:firstLine="210"/>
        <w:rPr>
          <w:szCs w:val="21"/>
        </w:rPr>
      </w:pPr>
      <w:r>
        <w:rPr>
          <w:szCs w:val="21"/>
        </w:rPr>
        <w:t xml:space="preserve">                                          年    月    日</w:t>
      </w:r>
    </w:p>
    <w:p>
      <w:pPr>
        <w:snapToGrid w:val="0"/>
        <w:spacing w:beforeLines="50" w:before="120" w:after="50" w:line="360" w:lineRule="exact"/>
        <w:rPr>
          <w:b/>
          <w:szCs w:val="21"/>
        </w:rPr>
      </w:pPr>
      <w:r>
        <w:rPr>
          <w:szCs w:val="21"/>
        </w:rPr>
        <w:br w:type="page"/>
      </w:r>
      <w:r>
        <w:rPr>
          <w:b/>
          <w:szCs w:val="21"/>
        </w:rPr>
        <w:t>2．法定代表人身份证明</w:t>
      </w:r>
      <w:r>
        <w:rPr>
          <w:rFonts w:hint="eastAsia"/>
          <w:b/>
          <w:szCs w:val="21"/>
        </w:rPr>
        <w:t>（无授权</w:t>
      </w:r>
      <w:r>
        <w:rPr>
          <w:b/>
          <w:szCs w:val="21"/>
        </w:rPr>
        <w:t>代表</w:t>
      </w:r>
      <w:r>
        <w:rPr>
          <w:rFonts w:hint="eastAsia"/>
          <w:b/>
          <w:szCs w:val="21"/>
        </w:rPr>
        <w:t>时提供）</w:t>
      </w:r>
      <w:r>
        <w:rPr>
          <w:b/>
          <w:szCs w:val="21"/>
        </w:rPr>
        <w:t>：</w:t>
      </w:r>
    </w:p>
    <w:p>
      <w:pPr>
        <w:pStyle w:val="166"/>
        <w:jc w:val="left"/>
      </w:pPr>
    </w:p>
    <w:p>
      <w:pPr>
        <w:snapToGrid w:val="0"/>
        <w:spacing w:beforeLines="50" w:before="120" w:after="50" w:line="440" w:lineRule="exact"/>
        <w:jc w:val="center"/>
        <w:rPr>
          <w:b/>
          <w:szCs w:val="21"/>
        </w:rPr>
      </w:pPr>
      <w:r>
        <w:rPr>
          <w:b/>
          <w:szCs w:val="21"/>
        </w:rPr>
        <w:t>法定代表人身份证明</w:t>
      </w:r>
    </w:p>
    <w:p>
      <w:pPr>
        <w:spacing w:line="360" w:lineRule="auto"/>
      </w:pPr>
    </w:p>
    <w:p>
      <w:pPr>
        <w:spacing w:line="360" w:lineRule="auto"/>
      </w:pPr>
    </w:p>
    <w:p>
      <w:pPr>
        <w:spacing w:line="540" w:lineRule="exact"/>
        <w:rPr>
          <w:szCs w:val="21"/>
        </w:rPr>
      </w:pPr>
      <w:r>
        <w:rPr>
          <w:szCs w:val="21"/>
        </w:rPr>
        <w:t>供应商名称：</w:t>
      </w:r>
      <w:r>
        <w:rPr>
          <w:szCs w:val="21"/>
          <w:u w:val="single"/>
        </w:rPr>
        <w:t xml:space="preserve">                                         </w:t>
      </w:r>
    </w:p>
    <w:p>
      <w:pPr>
        <w:spacing w:line="540" w:lineRule="exact"/>
        <w:rPr>
          <w:szCs w:val="21"/>
        </w:rPr>
      </w:pPr>
      <w:r>
        <w:rPr>
          <w:szCs w:val="21"/>
        </w:rPr>
        <w:t>单位性质：</w:t>
      </w:r>
      <w:r>
        <w:rPr>
          <w:szCs w:val="21"/>
          <w:u w:val="single"/>
        </w:rPr>
        <w:t xml:space="preserve">                                           </w:t>
      </w:r>
    </w:p>
    <w:p>
      <w:pPr>
        <w:spacing w:line="540" w:lineRule="exact"/>
        <w:rPr>
          <w:szCs w:val="21"/>
        </w:rPr>
      </w:pPr>
      <w:r>
        <w:rPr>
          <w:szCs w:val="21"/>
        </w:rPr>
        <w:t>地址：</w:t>
      </w:r>
      <w:r>
        <w:rPr>
          <w:szCs w:val="21"/>
          <w:u w:val="single"/>
        </w:rPr>
        <w:t xml:space="preserve">                                               </w:t>
      </w:r>
    </w:p>
    <w:p>
      <w:pPr>
        <w:spacing w:line="540" w:lineRule="exact"/>
        <w:rPr>
          <w:szCs w:val="21"/>
          <w:u w:val="single"/>
        </w:rPr>
      </w:pPr>
      <w:r>
        <w:rPr>
          <w:szCs w:val="21"/>
        </w:rPr>
        <w:t>成立时间：</w:t>
      </w:r>
      <w:r>
        <w:rPr>
          <w:szCs w:val="21"/>
          <w:u w:val="single"/>
        </w:rPr>
        <w:t xml:space="preserve">          年        月        日</w:t>
      </w:r>
    </w:p>
    <w:p>
      <w:pPr>
        <w:spacing w:line="540" w:lineRule="exact"/>
        <w:rPr>
          <w:szCs w:val="21"/>
        </w:rPr>
      </w:pPr>
      <w:r>
        <w:rPr>
          <w:szCs w:val="21"/>
        </w:rPr>
        <w:t>经营期限：</w:t>
      </w:r>
      <w:r>
        <w:rPr>
          <w:szCs w:val="21"/>
          <w:u w:val="single"/>
        </w:rPr>
        <w:t xml:space="preserve">                                           </w:t>
      </w:r>
    </w:p>
    <w:p>
      <w:pPr>
        <w:spacing w:line="540" w:lineRule="exact"/>
        <w:rPr>
          <w:szCs w:val="21"/>
        </w:rPr>
      </w:pPr>
      <w:r>
        <w:rPr>
          <w:szCs w:val="21"/>
        </w:rPr>
        <w:t>姓名：</w:t>
      </w:r>
      <w:r>
        <w:rPr>
          <w:szCs w:val="21"/>
          <w:u w:val="single"/>
        </w:rPr>
        <w:t xml:space="preserve">                   </w:t>
      </w:r>
      <w:r>
        <w:rPr>
          <w:szCs w:val="21"/>
        </w:rPr>
        <w:t>；性别：</w:t>
      </w:r>
      <w:r>
        <w:rPr>
          <w:szCs w:val="21"/>
          <w:u w:val="single"/>
        </w:rPr>
        <w:t xml:space="preserve">              </w:t>
      </w:r>
      <w:r>
        <w:rPr>
          <w:szCs w:val="21"/>
        </w:rPr>
        <w:t xml:space="preserve">        </w:t>
      </w:r>
    </w:p>
    <w:p>
      <w:pPr>
        <w:spacing w:line="540" w:lineRule="exact"/>
        <w:rPr>
          <w:szCs w:val="21"/>
        </w:rPr>
      </w:pPr>
      <w:r>
        <w:rPr>
          <w:szCs w:val="21"/>
        </w:rPr>
        <w:t>年龄：</w:t>
      </w:r>
      <w:r>
        <w:rPr>
          <w:szCs w:val="21"/>
          <w:u w:val="single"/>
        </w:rPr>
        <w:t xml:space="preserve">         </w:t>
      </w:r>
      <w:r>
        <w:rPr>
          <w:szCs w:val="21"/>
        </w:rPr>
        <w:t>；职务：</w:t>
      </w:r>
      <w:r>
        <w:rPr>
          <w:szCs w:val="21"/>
          <w:u w:val="single"/>
        </w:rPr>
        <w:t xml:space="preserve">              </w:t>
      </w:r>
      <w:r>
        <w:rPr>
          <w:szCs w:val="21"/>
        </w:rPr>
        <w:t>；身份证号码：</w:t>
      </w:r>
      <w:r>
        <w:rPr>
          <w:szCs w:val="21"/>
          <w:u w:val="single"/>
        </w:rPr>
        <w:t xml:space="preserve">                                      </w:t>
      </w:r>
    </w:p>
    <w:p>
      <w:pPr>
        <w:spacing w:line="540" w:lineRule="exact"/>
        <w:rPr>
          <w:szCs w:val="21"/>
        </w:rPr>
      </w:pPr>
      <w:r>
        <w:rPr>
          <w:szCs w:val="21"/>
        </w:rPr>
        <w:t>系</w:t>
      </w:r>
      <w:r>
        <w:rPr>
          <w:szCs w:val="21"/>
          <w:u w:val="single"/>
        </w:rPr>
        <w:t xml:space="preserve">                                      （ 供应商名称）</w:t>
      </w:r>
      <w:r>
        <w:rPr>
          <w:szCs w:val="21"/>
        </w:rPr>
        <w:t>的法定代表人。</w:t>
      </w:r>
    </w:p>
    <w:p>
      <w:pPr>
        <w:spacing w:line="540" w:lineRule="exact"/>
        <w:rPr>
          <w:szCs w:val="21"/>
        </w:rPr>
      </w:pPr>
    </w:p>
    <w:p>
      <w:pPr>
        <w:spacing w:line="540" w:lineRule="exact"/>
        <w:ind w:firstLineChars="200" w:firstLine="420"/>
        <w:rPr>
          <w:szCs w:val="21"/>
        </w:rPr>
      </w:pPr>
      <w:r>
        <w:rPr>
          <w:szCs w:val="21"/>
        </w:rPr>
        <w:t>特此证明。</w:t>
      </w:r>
    </w:p>
    <w:p>
      <w:pPr>
        <w:spacing w:line="360" w:lineRule="auto"/>
        <w:ind w:firstLineChars="200" w:firstLine="420"/>
        <w:rPr>
          <w:szCs w:val="21"/>
        </w:rPr>
      </w:pPr>
    </w:p>
    <w:p>
      <w:pPr>
        <w:spacing w:line="360" w:lineRule="auto"/>
        <w:ind w:firstLineChars="2300" w:firstLine="4830"/>
        <w:rPr>
          <w:szCs w:val="21"/>
        </w:rPr>
      </w:pPr>
      <w:r>
        <w:rPr>
          <w:szCs w:val="21"/>
        </w:rPr>
        <w:t>供应商</w:t>
      </w:r>
      <w:r>
        <w:rPr>
          <w:rFonts w:hint="eastAsia"/>
          <w:szCs w:val="21"/>
        </w:rPr>
        <w:t>名称（公章）</w:t>
      </w:r>
      <w:r>
        <w:rPr>
          <w:szCs w:val="21"/>
        </w:rPr>
        <w:t>：</w:t>
      </w:r>
      <w:r>
        <w:rPr>
          <w:szCs w:val="21"/>
          <w:u w:val="single"/>
        </w:rPr>
        <w:t xml:space="preserve">                </w:t>
      </w:r>
    </w:p>
    <w:p>
      <w:pPr>
        <w:spacing w:line="360" w:lineRule="auto"/>
        <w:rPr>
          <w:szCs w:val="21"/>
        </w:rPr>
      </w:pPr>
      <w:r>
        <w:rPr>
          <w:szCs w:val="21"/>
        </w:rPr>
        <w:t xml:space="preserve">                                                   年       月       日 </w:t>
      </w:r>
    </w:p>
    <w:p>
      <w:pPr>
        <w:spacing w:line="360" w:lineRule="auto"/>
        <w:ind w:firstLineChars="200" w:firstLine="420"/>
        <w:rPr>
          <w:szCs w:val="21"/>
        </w:rPr>
      </w:pPr>
    </w:p>
    <w:p>
      <w:pPr>
        <w:spacing w:line="360" w:lineRule="auto"/>
        <w:rPr>
          <w:rFonts w:eastAsia="宋体" w:hint="eastAsia"/>
          <w:szCs w:val="21"/>
          <w:lang w:eastAsia="zh-CN"/>
        </w:rPr>
      </w:pPr>
      <w:r>
        <w:rPr>
          <w:szCs w:val="21"/>
        </w:rPr>
        <w:t>附件：法定代表人身份证</w:t>
      </w:r>
      <w:r>
        <w:rPr>
          <w:rFonts w:hint="eastAsia"/>
          <w:szCs w:val="21"/>
          <w:lang w:eastAsia="zh-CN"/>
        </w:rPr>
        <w:t>复印件</w:t>
      </w:r>
    </w:p>
    <w:p>
      <w:pPr>
        <w:spacing w:line="360" w:lineRule="auto"/>
        <w:rPr>
          <w:szCs w:val="21"/>
        </w:rPr>
      </w:pPr>
    </w:p>
    <w:p>
      <w:pPr>
        <w:snapToGrid w:val="0"/>
        <w:spacing w:beforeLines="50" w:before="120" w:after="50" w:line="360" w:lineRule="exact"/>
        <w:rPr>
          <w:b/>
          <w:szCs w:val="21"/>
        </w:rPr>
      </w:pPr>
      <w:r>
        <w:rPr>
          <w:b/>
          <w:szCs w:val="21"/>
        </w:rPr>
        <w:br w:type="page"/>
        <w:t>2．</w:t>
      </w:r>
      <w:r>
        <w:rPr>
          <w:rFonts w:hint="eastAsia"/>
          <w:b/>
          <w:szCs w:val="21"/>
        </w:rPr>
        <w:t>授权</w:t>
      </w:r>
      <w:r>
        <w:rPr>
          <w:b/>
          <w:szCs w:val="21"/>
        </w:rPr>
        <w:t>委托书</w:t>
      </w:r>
      <w:r>
        <w:rPr>
          <w:rFonts w:hint="eastAsia"/>
          <w:b/>
          <w:szCs w:val="21"/>
        </w:rPr>
        <w:t>（有授权</w:t>
      </w:r>
      <w:r>
        <w:rPr>
          <w:b/>
          <w:szCs w:val="21"/>
        </w:rPr>
        <w:t>代表</w:t>
      </w:r>
      <w:r>
        <w:rPr>
          <w:rFonts w:hint="eastAsia"/>
          <w:b/>
          <w:szCs w:val="21"/>
        </w:rPr>
        <w:t>时提供）</w:t>
      </w:r>
      <w:r>
        <w:rPr>
          <w:b/>
          <w:szCs w:val="21"/>
        </w:rPr>
        <w:t>：</w:t>
      </w:r>
    </w:p>
    <w:p>
      <w:pPr>
        <w:snapToGrid w:val="0"/>
        <w:spacing w:beforeLines="50" w:before="120" w:after="50" w:line="360" w:lineRule="exact"/>
        <w:rPr>
          <w:b/>
          <w:szCs w:val="21"/>
        </w:rPr>
      </w:pPr>
    </w:p>
    <w:p>
      <w:pPr>
        <w:snapToGrid w:val="0"/>
        <w:spacing w:beforeLines="50" w:before="120" w:after="50" w:line="440" w:lineRule="exact"/>
        <w:jc w:val="center"/>
        <w:rPr>
          <w:b/>
          <w:szCs w:val="21"/>
        </w:rPr>
      </w:pPr>
      <w:r>
        <w:rPr>
          <w:b/>
          <w:szCs w:val="21"/>
        </w:rPr>
        <w:t>法定代表人授权委托书</w:t>
      </w:r>
    </w:p>
    <w:p>
      <w:pPr>
        <w:snapToGrid w:val="0"/>
        <w:spacing w:beforeLines="50" w:before="120" w:after="50" w:line="440" w:lineRule="exact"/>
        <w:rPr>
          <w:b/>
          <w:bCs/>
          <w:szCs w:val="21"/>
        </w:rPr>
      </w:pPr>
      <w:r>
        <w:rPr>
          <w:bCs/>
          <w:szCs w:val="21"/>
        </w:rPr>
        <w:t>致：</w:t>
      </w:r>
      <w:r>
        <w:rPr>
          <w:i/>
          <w:iCs/>
          <w:szCs w:val="21"/>
          <w:u w:val="single"/>
        </w:rPr>
        <w:t>（采购</w:t>
      </w:r>
      <w:r>
        <w:rPr>
          <w:rFonts w:hint="eastAsia"/>
          <w:i/>
          <w:iCs/>
          <w:szCs w:val="21"/>
          <w:u w:val="single"/>
        </w:rPr>
        <w:t>人</w:t>
      </w:r>
      <w:r>
        <w:rPr>
          <w:i/>
          <w:iCs/>
          <w:szCs w:val="21"/>
          <w:u w:val="single"/>
        </w:rPr>
        <w:t>名称）</w:t>
      </w:r>
      <w:r>
        <w:rPr>
          <w:szCs w:val="21"/>
        </w:rPr>
        <w:t>：</w:t>
      </w:r>
    </w:p>
    <w:p>
      <w:pPr>
        <w:snapToGrid w:val="0"/>
        <w:spacing w:beforeLines="50" w:before="120" w:after="50" w:line="440" w:lineRule="exact"/>
        <w:ind w:firstLineChars="200" w:firstLine="420"/>
        <w:rPr>
          <w:szCs w:val="21"/>
        </w:rPr>
      </w:pPr>
      <w:r>
        <w:rPr>
          <w:szCs w:val="21"/>
        </w:rPr>
        <w:t>我</w:t>
      </w:r>
      <w:r>
        <w:rPr>
          <w:i/>
          <w:iCs/>
          <w:szCs w:val="21"/>
          <w:u w:val="single"/>
        </w:rPr>
        <w:t>（</w:t>
      </w:r>
      <w:r>
        <w:rPr>
          <w:rFonts w:hint="eastAsia"/>
          <w:i/>
          <w:iCs/>
          <w:szCs w:val="21"/>
          <w:u w:val="single"/>
        </w:rPr>
        <w:t>姓名</w:t>
      </w:r>
      <w:r>
        <w:rPr>
          <w:i/>
          <w:iCs/>
          <w:szCs w:val="21"/>
          <w:u w:val="single"/>
        </w:rPr>
        <w:t>）</w:t>
      </w:r>
      <w:r>
        <w:rPr>
          <w:szCs w:val="21"/>
        </w:rPr>
        <w:t>系</w:t>
      </w:r>
      <w:r>
        <w:rPr>
          <w:i/>
          <w:iCs/>
          <w:szCs w:val="21"/>
          <w:u w:val="single"/>
        </w:rPr>
        <w:t>（供应商名称）</w:t>
      </w:r>
      <w:r>
        <w:rPr>
          <w:szCs w:val="21"/>
        </w:rPr>
        <w:t>的法定代表人，现授权委托本单位在职职工</w:t>
      </w:r>
      <w:r>
        <w:rPr>
          <w:i/>
          <w:szCs w:val="21"/>
          <w:u w:val="single"/>
        </w:rPr>
        <w:t>（姓名）</w:t>
      </w:r>
      <w:r>
        <w:rPr>
          <w:szCs w:val="21"/>
        </w:rPr>
        <w:t>以我方的名义参加</w:t>
      </w:r>
      <w:r>
        <w:rPr>
          <w:szCs w:val="21"/>
          <w:u w:val="single"/>
        </w:rPr>
        <w:t xml:space="preserve"> </w:t>
      </w:r>
      <w:r>
        <w:rPr>
          <w:rFonts w:hint="eastAsia"/>
          <w:i/>
          <w:iCs/>
          <w:szCs w:val="21"/>
          <w:u w:val="single"/>
        </w:rPr>
        <w:t>（项目名称）</w:t>
      </w:r>
      <w:r>
        <w:rPr>
          <w:szCs w:val="21"/>
          <w:u w:val="single"/>
        </w:rPr>
        <w:t xml:space="preserve"> </w:t>
      </w:r>
      <w:r>
        <w:rPr>
          <w:szCs w:val="21"/>
        </w:rPr>
        <w:t>项目的磋商活动，并代表我方全权办理针对上述项目的磋商、截标、评审、签约等具体事务和签署相关文件。</w:t>
      </w:r>
    </w:p>
    <w:p>
      <w:pPr>
        <w:snapToGrid w:val="0"/>
        <w:spacing w:beforeLines="50" w:before="120" w:after="50" w:line="440" w:lineRule="exact"/>
        <w:rPr>
          <w:szCs w:val="21"/>
        </w:rPr>
      </w:pPr>
      <w:r>
        <w:rPr>
          <w:szCs w:val="21"/>
        </w:rPr>
        <w:t xml:space="preserve">    我方对被授权人的签名事项负全部责任。</w:t>
      </w:r>
    </w:p>
    <w:p>
      <w:pPr>
        <w:snapToGrid w:val="0"/>
        <w:spacing w:beforeLines="50" w:before="120" w:after="50" w:line="440" w:lineRule="exact"/>
        <w:ind w:firstLine="480"/>
        <w:rPr>
          <w:szCs w:val="21"/>
        </w:rPr>
      </w:pPr>
      <w:r>
        <w:rPr>
          <w:szCs w:val="21"/>
        </w:rPr>
        <w:t>在撤销授权的书面通知以前，本授权书一直有效。被授权人在授权书有效期内签署的所有文件不因授权的撤销而失效。</w:t>
      </w:r>
    </w:p>
    <w:p>
      <w:pPr>
        <w:snapToGrid w:val="0"/>
        <w:spacing w:beforeLines="50" w:before="120" w:after="50" w:line="440" w:lineRule="exact"/>
        <w:ind w:firstLine="480"/>
        <w:rPr>
          <w:szCs w:val="21"/>
        </w:rPr>
      </w:pPr>
      <w:r>
        <w:rPr>
          <w:szCs w:val="21"/>
        </w:rPr>
        <w:t>被授权人无转委托权，特此委托。</w:t>
      </w:r>
    </w:p>
    <w:p>
      <w:pPr>
        <w:snapToGrid w:val="0"/>
        <w:spacing w:beforeLines="50" w:before="120" w:after="50" w:line="440" w:lineRule="exact"/>
        <w:rPr>
          <w:szCs w:val="21"/>
          <w:u w:val="single"/>
        </w:rPr>
      </w:pPr>
      <w:r>
        <w:rPr>
          <w:szCs w:val="21"/>
        </w:rPr>
        <w:t>被授权人签名或</w:t>
      </w:r>
      <w:r>
        <w:rPr>
          <w:rFonts w:hint="eastAsia"/>
          <w:szCs w:val="21"/>
        </w:rPr>
        <w:t>签章</w:t>
      </w:r>
      <w:r>
        <w:rPr>
          <w:szCs w:val="21"/>
        </w:rPr>
        <w:t>：</w:t>
      </w:r>
      <w:r>
        <w:rPr>
          <w:szCs w:val="21"/>
          <w:u w:val="single"/>
        </w:rPr>
        <w:t xml:space="preserve">          </w:t>
      </w:r>
      <w:r>
        <w:rPr>
          <w:szCs w:val="21"/>
        </w:rPr>
        <w:t xml:space="preserve">                     法定代表人签名或</w:t>
      </w:r>
      <w:r>
        <w:rPr>
          <w:rFonts w:hint="eastAsia"/>
          <w:szCs w:val="21"/>
        </w:rPr>
        <w:t>签章</w:t>
      </w:r>
      <w:r>
        <w:rPr>
          <w:szCs w:val="21"/>
        </w:rPr>
        <w:t>：</w:t>
      </w:r>
      <w:r>
        <w:rPr>
          <w:szCs w:val="21"/>
          <w:u w:val="single"/>
        </w:rPr>
        <w:t xml:space="preserve">          </w:t>
      </w:r>
    </w:p>
    <w:p>
      <w:pPr>
        <w:snapToGrid w:val="0"/>
        <w:spacing w:beforeLines="50" w:before="120" w:after="50" w:line="440" w:lineRule="exact"/>
        <w:rPr>
          <w:szCs w:val="21"/>
        </w:rPr>
      </w:pPr>
      <w:r>
        <w:rPr>
          <w:szCs w:val="21"/>
        </w:rPr>
        <w:t>职务：</w:t>
      </w:r>
      <w:r>
        <w:rPr>
          <w:szCs w:val="21"/>
          <w:u w:val="single"/>
        </w:rPr>
        <w:t xml:space="preserve">           </w:t>
      </w:r>
      <w:r>
        <w:rPr>
          <w:szCs w:val="21"/>
        </w:rPr>
        <w:t xml:space="preserve">                                  职务：</w:t>
      </w:r>
      <w:r>
        <w:rPr>
          <w:szCs w:val="21"/>
          <w:u w:val="single"/>
        </w:rPr>
        <w:t xml:space="preserve">           </w:t>
      </w:r>
    </w:p>
    <w:p>
      <w:pPr>
        <w:snapToGrid w:val="0"/>
        <w:spacing w:beforeLines="50" w:before="120" w:after="50" w:line="440" w:lineRule="exact"/>
        <w:rPr>
          <w:szCs w:val="21"/>
          <w:u w:val="single"/>
        </w:rPr>
      </w:pPr>
      <w:r>
        <w:rPr>
          <w:szCs w:val="21"/>
        </w:rPr>
        <w:t>被授权人身份证号码：</w:t>
      </w:r>
      <w:r>
        <w:rPr>
          <w:szCs w:val="21"/>
          <w:u w:val="single"/>
        </w:rPr>
        <w:t xml:space="preserve">                   </w:t>
      </w:r>
      <w:r>
        <w:rPr>
          <w:szCs w:val="21"/>
        </w:rPr>
        <w:t xml:space="preserve">            授权人身份证号码：</w:t>
      </w:r>
      <w:r>
        <w:rPr>
          <w:szCs w:val="21"/>
          <w:u w:val="single"/>
        </w:rPr>
        <w:t xml:space="preserve">                 </w:t>
      </w:r>
    </w:p>
    <w:p>
      <w:pPr>
        <w:snapToGrid w:val="0"/>
        <w:spacing w:beforeLines="50" w:before="120" w:after="50" w:line="440" w:lineRule="exact"/>
        <w:rPr>
          <w:szCs w:val="21"/>
          <w:u w:val="single"/>
        </w:rPr>
      </w:pPr>
      <w:r>
        <w:rPr>
          <w:rFonts w:hint="eastAsia"/>
          <w:szCs w:val="21"/>
        </w:rPr>
        <w:t>被授权人手机号码及邮箱：</w:t>
      </w:r>
      <w:r>
        <w:rPr>
          <w:rFonts w:hint="eastAsia"/>
          <w:szCs w:val="21"/>
          <w:u w:val="single"/>
        </w:rPr>
        <w:t xml:space="preserve"> </w:t>
      </w:r>
      <w:r>
        <w:rPr>
          <w:szCs w:val="21"/>
          <w:u w:val="single"/>
        </w:rPr>
        <w:t xml:space="preserve">        </w:t>
      </w:r>
    </w:p>
    <w:p>
      <w:pPr>
        <w:snapToGrid w:val="0"/>
        <w:spacing w:beforeLines="50" w:before="120" w:after="50" w:line="440" w:lineRule="exact"/>
        <w:rPr>
          <w:szCs w:val="21"/>
        </w:rPr>
      </w:pPr>
    </w:p>
    <w:p>
      <w:pPr>
        <w:snapToGrid w:val="0"/>
        <w:spacing w:beforeLines="50" w:before="120" w:after="50" w:line="440" w:lineRule="exact"/>
        <w:rPr>
          <w:szCs w:val="21"/>
        </w:rPr>
      </w:pPr>
    </w:p>
    <w:p>
      <w:pPr>
        <w:snapToGrid w:val="0"/>
        <w:spacing w:beforeLines="50" w:before="120" w:after="50" w:line="440" w:lineRule="exact"/>
        <w:rPr>
          <w:szCs w:val="21"/>
        </w:rPr>
      </w:pPr>
      <w:r>
        <w:rPr>
          <w:szCs w:val="21"/>
        </w:rPr>
        <w:t xml:space="preserve">                                </w:t>
      </w:r>
    </w:p>
    <w:p>
      <w:pPr>
        <w:snapToGrid w:val="0"/>
        <w:spacing w:beforeLines="50" w:before="120" w:after="50" w:line="440" w:lineRule="exact"/>
        <w:ind w:firstLineChars="2700" w:firstLine="5670"/>
        <w:rPr>
          <w:szCs w:val="21"/>
        </w:rPr>
      </w:pPr>
      <w:r>
        <w:rPr>
          <w:szCs w:val="21"/>
        </w:rPr>
        <w:t>供应商</w:t>
      </w:r>
      <w:r>
        <w:rPr>
          <w:rFonts w:hint="eastAsia"/>
          <w:szCs w:val="21"/>
        </w:rPr>
        <w:t>名称（公章）</w:t>
      </w:r>
      <w:r>
        <w:rPr>
          <w:szCs w:val="21"/>
        </w:rPr>
        <w:t>：</w:t>
      </w:r>
      <w:r>
        <w:rPr>
          <w:szCs w:val="21"/>
          <w:u w:val="single"/>
        </w:rPr>
        <w:t xml:space="preserve">                </w:t>
      </w:r>
    </w:p>
    <w:p>
      <w:pPr>
        <w:snapToGrid w:val="0"/>
        <w:spacing w:beforeLines="50" w:before="120" w:after="50" w:line="440" w:lineRule="exact"/>
        <w:jc w:val="center"/>
        <w:rPr>
          <w:szCs w:val="21"/>
        </w:rPr>
      </w:pPr>
      <w:r>
        <w:rPr>
          <w:szCs w:val="21"/>
        </w:rPr>
        <w:t xml:space="preserve">                                        年    月    日</w:t>
      </w:r>
    </w:p>
    <w:p>
      <w:pPr>
        <w:spacing w:line="360" w:lineRule="auto"/>
        <w:rPr>
          <w:rFonts w:eastAsia="宋体" w:hint="eastAsia"/>
          <w:szCs w:val="21"/>
          <w:lang w:eastAsia="zh-CN"/>
        </w:rPr>
      </w:pPr>
      <w:r>
        <w:rPr>
          <w:szCs w:val="21"/>
        </w:rPr>
        <w:t>附件：法定代表人身份证</w:t>
      </w:r>
      <w:r>
        <w:rPr>
          <w:rFonts w:hint="eastAsia"/>
          <w:szCs w:val="21"/>
          <w:lang w:eastAsia="zh-CN"/>
        </w:rPr>
        <w:t>复印件</w:t>
      </w:r>
      <w:r>
        <w:rPr>
          <w:szCs w:val="21"/>
        </w:rPr>
        <w:t>及授权代表身份证</w:t>
      </w:r>
      <w:r>
        <w:rPr>
          <w:rFonts w:hint="eastAsia"/>
          <w:szCs w:val="21"/>
          <w:lang w:eastAsia="zh-CN"/>
        </w:rPr>
        <w:t>复印件</w:t>
      </w:r>
    </w:p>
    <w:p>
      <w:pPr>
        <w:spacing w:line="360" w:lineRule="auto"/>
      </w:pPr>
    </w:p>
    <w:p>
      <w:pPr>
        <w:snapToGrid w:val="0"/>
        <w:spacing w:beforeLines="50" w:before="120" w:after="50" w:line="440" w:lineRule="exact"/>
        <w:rPr>
          <w:szCs w:val="21"/>
        </w:rPr>
      </w:pPr>
      <w:r>
        <w:rPr>
          <w:szCs w:val="21"/>
        </w:rPr>
        <w:br w:type="page"/>
        <w:t>3．法人或者其他组织的营业执照等证明文件。即供应商是企业则提供营业执照（副本）</w:t>
      </w:r>
      <w:r>
        <w:rPr>
          <w:rFonts w:hint="eastAsia"/>
          <w:szCs w:val="21"/>
          <w:lang w:eastAsia="zh-CN"/>
        </w:rPr>
        <w:t>复印件</w:t>
      </w:r>
      <w:r>
        <w:rPr>
          <w:szCs w:val="21"/>
        </w:rPr>
        <w:t>；供应商是事业单位，则提供事业单位法人证书（副本）</w:t>
      </w:r>
      <w:r>
        <w:rPr>
          <w:rFonts w:hint="eastAsia"/>
          <w:szCs w:val="21"/>
          <w:lang w:eastAsia="zh-CN"/>
        </w:rPr>
        <w:t>复印件</w:t>
      </w:r>
      <w:r>
        <w:rPr>
          <w:szCs w:val="21"/>
        </w:rPr>
        <w:t>；供应商是非企业专业服务机构的，则提供执业许可证等证明文件</w:t>
      </w:r>
      <w:r>
        <w:rPr>
          <w:rFonts w:hint="eastAsia"/>
          <w:szCs w:val="21"/>
          <w:lang w:eastAsia="zh-CN"/>
        </w:rPr>
        <w:t>复印件</w:t>
      </w:r>
      <w:r>
        <w:rPr>
          <w:szCs w:val="21"/>
        </w:rPr>
        <w:t>；如供应商不是以上所列的法人、组织的，则提供国家规定的相关证明材料。</w:t>
      </w:r>
      <w:bookmarkStart w:id="116" w:name="_Hlk89190828"/>
      <w:r>
        <w:rPr>
          <w:szCs w:val="21"/>
        </w:rPr>
        <w:t>（加盖供应商</w:t>
      </w:r>
      <w:r>
        <w:rPr>
          <w:rFonts w:hint="eastAsia"/>
          <w:szCs w:val="21"/>
        </w:rPr>
        <w:t>公章</w:t>
      </w:r>
      <w:r>
        <w:rPr>
          <w:szCs w:val="21"/>
        </w:rPr>
        <w:t>）</w:t>
      </w:r>
      <w:bookmarkEnd w:id="116"/>
    </w:p>
    <w:p>
      <w:pPr>
        <w:snapToGrid w:val="0"/>
        <w:spacing w:beforeLines="50" w:before="120" w:after="50" w:line="440" w:lineRule="exact"/>
        <w:rPr>
          <w:szCs w:val="21"/>
        </w:rPr>
      </w:pPr>
    </w:p>
    <w:p>
      <w:pPr>
        <w:snapToGrid w:val="0"/>
        <w:spacing w:beforeLines="50" w:before="120" w:after="50" w:line="440" w:lineRule="exact"/>
        <w:rPr>
          <w:szCs w:val="21"/>
        </w:rPr>
      </w:pPr>
      <w:r>
        <w:rPr>
          <w:szCs w:val="21"/>
        </w:rPr>
        <w:t>4．财务状况报告（表）</w:t>
      </w:r>
      <w:r>
        <w:rPr>
          <w:rFonts w:hint="eastAsia"/>
          <w:szCs w:val="21"/>
          <w:lang w:eastAsia="zh-CN"/>
        </w:rPr>
        <w:t>复印件</w:t>
      </w:r>
      <w:r>
        <w:rPr>
          <w:szCs w:val="21"/>
        </w:rPr>
        <w:t>或银行出具的资信证明</w:t>
      </w:r>
      <w:r>
        <w:rPr>
          <w:rFonts w:hint="eastAsia"/>
          <w:szCs w:val="21"/>
          <w:lang w:eastAsia="zh-CN"/>
        </w:rPr>
        <w:t>复印件</w:t>
      </w:r>
      <w:r>
        <w:rPr>
          <w:szCs w:val="21"/>
        </w:rPr>
        <w:t>。</w:t>
      </w:r>
      <w:r>
        <w:t>对于从取得营业执照时间起到截标时间为止不足1年的供应商，只需提交</w:t>
      </w:r>
      <w:r>
        <w:rPr>
          <w:szCs w:val="21"/>
        </w:rPr>
        <w:t>截标时间前一个月的财务状况报告（表）</w:t>
      </w:r>
      <w:r>
        <w:rPr>
          <w:rFonts w:hint="eastAsia"/>
          <w:szCs w:val="21"/>
          <w:lang w:eastAsia="zh-CN"/>
        </w:rPr>
        <w:t>复印件</w:t>
      </w:r>
      <w:r>
        <w:rPr>
          <w:szCs w:val="21"/>
        </w:rPr>
        <w:t>。（按“评审方法及标准” “资格审查表”规定提供）。</w:t>
      </w:r>
      <w:bookmarkStart w:id="117" w:name="_Hlk89190839"/>
      <w:r>
        <w:rPr>
          <w:szCs w:val="21"/>
        </w:rPr>
        <w:t>（加盖供应商</w:t>
      </w:r>
      <w:r>
        <w:rPr>
          <w:rFonts w:hint="eastAsia"/>
          <w:szCs w:val="21"/>
        </w:rPr>
        <w:t>公章</w:t>
      </w:r>
      <w:r>
        <w:rPr>
          <w:szCs w:val="21"/>
        </w:rPr>
        <w:t>）</w:t>
      </w:r>
      <w:bookmarkEnd w:id="117"/>
    </w:p>
    <w:p>
      <w:pPr>
        <w:snapToGrid w:val="0"/>
        <w:spacing w:beforeLines="50" w:before="120" w:after="50" w:line="440" w:lineRule="exact"/>
        <w:rPr>
          <w:szCs w:val="21"/>
        </w:rPr>
      </w:pPr>
    </w:p>
    <w:p>
      <w:pPr>
        <w:snapToGrid w:val="0"/>
        <w:spacing w:before="50" w:afterLines="50" w:after="120" w:line="440" w:lineRule="exact"/>
        <w:jc w:val="left"/>
        <w:rPr>
          <w:b/>
          <w:szCs w:val="21"/>
        </w:rPr>
      </w:pPr>
      <w:r>
        <w:rPr>
          <w:szCs w:val="21"/>
        </w:rPr>
        <w:t>5．</w:t>
      </w:r>
      <w:r>
        <w:t>依法缴纳税费证明和社会保险缴纳证明材料</w:t>
      </w:r>
      <w:r>
        <w:rPr>
          <w:rFonts w:hint="eastAsia"/>
        </w:rPr>
        <w:t>。</w:t>
      </w:r>
      <w:r>
        <w:t>供应商成立不足</w:t>
      </w:r>
      <w:r>
        <w:rPr>
          <w:rFonts w:hint="eastAsia"/>
        </w:rPr>
        <w:t>1个月的，无须提供</w:t>
      </w:r>
      <w:r>
        <w:t>缴纳税费证明及社保缴费证明</w:t>
      </w:r>
      <w:r>
        <w:rPr>
          <w:rFonts w:hint="eastAsia"/>
        </w:rPr>
        <w:t>。</w:t>
      </w:r>
      <w:r>
        <w:t>依法免税或不需要缴纳社会保障资金的供应商，须提供相应文件证明其依法免税或不需要缴纳社会保障资金。</w:t>
      </w:r>
      <w:r>
        <w:rPr>
          <w:szCs w:val="21"/>
        </w:rPr>
        <w:t>（按“评审方法及标准” “资格审查表”规定提供</w:t>
      </w:r>
      <w:r>
        <w:rPr>
          <w:rFonts w:hint="eastAsia"/>
          <w:szCs w:val="21"/>
        </w:rPr>
        <w:t>，其中社会保险缴纳证明在对应人员资料处提供</w:t>
      </w:r>
      <w:r>
        <w:rPr>
          <w:szCs w:val="21"/>
        </w:rPr>
        <w:t>）（加盖供应商</w:t>
      </w:r>
      <w:r>
        <w:rPr>
          <w:rFonts w:hint="eastAsia"/>
          <w:szCs w:val="21"/>
        </w:rPr>
        <w:t>公章</w:t>
      </w:r>
      <w:r>
        <w:rPr>
          <w:szCs w:val="21"/>
        </w:rPr>
        <w:t>）</w:t>
      </w:r>
    </w:p>
    <w:p>
      <w:pPr>
        <w:snapToGrid w:val="0"/>
        <w:spacing w:before="50" w:afterLines="50" w:after="120" w:line="440" w:lineRule="exact"/>
        <w:jc w:val="left"/>
      </w:pPr>
    </w:p>
    <w:p>
      <w:r>
        <w:br w:type="page"/>
      </w:r>
    </w:p>
    <w:p>
      <w:pPr>
        <w:snapToGrid w:val="0"/>
        <w:spacing w:before="50" w:afterLines="50" w:after="120" w:line="440" w:lineRule="exact"/>
        <w:jc w:val="left"/>
      </w:pPr>
      <w:r>
        <w:t>6．具备法律、行政法规规定的其他要求的证明材料（按“评审方法及标准” “</w:t>
      </w:r>
      <w:r>
        <w:rPr>
          <w:szCs w:val="21"/>
        </w:rPr>
        <w:t>资格审查表</w:t>
      </w:r>
      <w:r>
        <w:t>”规定提供）。</w:t>
      </w:r>
      <w:r>
        <w:rPr>
          <w:rFonts w:hint="eastAsia"/>
          <w:b/>
        </w:rPr>
        <w:t>（如采购文件有要求时提供）</w:t>
      </w:r>
    </w:p>
    <w:p>
      <w:pPr>
        <w:snapToGrid w:val="0"/>
        <w:spacing w:before="50" w:afterLines="50" w:after="120" w:line="440" w:lineRule="exact"/>
        <w:jc w:val="left"/>
      </w:pPr>
      <w:r>
        <w:t>6.</w:t>
      </w:r>
      <w:r>
        <w:rPr>
          <w:rFonts w:hint="eastAsia"/>
        </w:rPr>
        <w:t>1</w:t>
      </w:r>
      <w:r>
        <w:t>供应商基本情况表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6"/>
        <w:gridCol w:w="897"/>
        <w:gridCol w:w="1021"/>
        <w:gridCol w:w="1160"/>
        <w:gridCol w:w="311"/>
        <w:gridCol w:w="1246"/>
        <w:gridCol w:w="63"/>
        <w:gridCol w:w="720"/>
        <w:gridCol w:w="1923"/>
      </w:tblGrid>
      <w:tr>
        <w:trPr>
          <w:trHeight w:val="567"/>
        </w:trPr>
        <w:tc>
          <w:tcPr>
            <w:tcW w:w="1626" w:type="dxa"/>
            <w:vAlign w:val="center"/>
          </w:tcPr>
          <w:p>
            <w:pPr>
              <w:jc w:val="center"/>
              <w:rPr>
                <w:szCs w:val="21"/>
              </w:rPr>
            </w:pPr>
            <w:r>
              <w:rPr>
                <w:szCs w:val="21"/>
              </w:rPr>
              <w:t>供应商名称</w:t>
            </w:r>
          </w:p>
        </w:tc>
        <w:tc>
          <w:tcPr>
            <w:tcW w:w="7341" w:type="dxa"/>
            <w:gridSpan w:val="8"/>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注册地址</w:t>
            </w:r>
          </w:p>
        </w:tc>
        <w:tc>
          <w:tcPr>
            <w:tcW w:w="3389" w:type="dxa"/>
            <w:gridSpan w:val="4"/>
            <w:tcBorders>
              <w:top w:val="single" w:sz="4" w:space="0" w:color="auto"/>
              <w:left w:val="single" w:sz="4" w:space="0" w:color="auto"/>
              <w:right w:val="single" w:sz="4" w:space="0" w:color="auto"/>
            </w:tcBorders>
            <w:vAlign w:val="center"/>
          </w:tcPr>
          <w:p>
            <w:pPr>
              <w:jc w:val="center"/>
              <w:rPr>
                <w:szCs w:val="21"/>
              </w:rPr>
            </w:pPr>
          </w:p>
        </w:tc>
        <w:tc>
          <w:tcPr>
            <w:tcW w:w="1246" w:type="dxa"/>
            <w:tcBorders>
              <w:top w:val="single" w:sz="4" w:space="0" w:color="auto"/>
              <w:left w:val="single" w:sz="4" w:space="0" w:color="auto"/>
              <w:right w:val="single" w:sz="4" w:space="0" w:color="auto"/>
            </w:tcBorders>
            <w:vAlign w:val="center"/>
          </w:tcPr>
          <w:p>
            <w:pPr>
              <w:jc w:val="center"/>
              <w:rPr>
                <w:szCs w:val="21"/>
              </w:rPr>
            </w:pPr>
            <w:r>
              <w:rPr>
                <w:szCs w:val="21"/>
              </w:rPr>
              <w:t>邮政编码</w:t>
            </w:r>
          </w:p>
        </w:tc>
        <w:tc>
          <w:tcPr>
            <w:tcW w:w="2706" w:type="dxa"/>
            <w:gridSpan w:val="3"/>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vMerge w:val="restart"/>
            <w:tcBorders>
              <w:top w:val="single" w:sz="4" w:space="0" w:color="auto"/>
              <w:left w:val="single" w:sz="4" w:space="0" w:color="auto"/>
              <w:right w:val="single" w:sz="4" w:space="0" w:color="auto"/>
            </w:tcBorders>
            <w:vAlign w:val="center"/>
          </w:tcPr>
          <w:p>
            <w:pPr>
              <w:jc w:val="center"/>
              <w:rPr>
                <w:szCs w:val="21"/>
              </w:rPr>
            </w:pPr>
            <w:r>
              <w:rPr>
                <w:szCs w:val="21"/>
              </w:rPr>
              <w:t>联系方式</w:t>
            </w: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联系人</w:t>
            </w:r>
          </w:p>
        </w:tc>
        <w:tc>
          <w:tcPr>
            <w:tcW w:w="2492" w:type="dxa"/>
            <w:gridSpan w:val="3"/>
            <w:tcBorders>
              <w:top w:val="single" w:sz="4" w:space="0" w:color="auto"/>
              <w:left w:val="single" w:sz="4" w:space="0" w:color="auto"/>
              <w:right w:val="single" w:sz="4" w:space="0" w:color="auto"/>
            </w:tcBorders>
            <w:vAlign w:val="center"/>
          </w:tcPr>
          <w:p>
            <w:pPr>
              <w:jc w:val="center"/>
              <w:rPr>
                <w:szCs w:val="21"/>
              </w:rPr>
            </w:pPr>
          </w:p>
        </w:tc>
        <w:tc>
          <w:tcPr>
            <w:tcW w:w="1246" w:type="dxa"/>
            <w:tcBorders>
              <w:top w:val="single" w:sz="4" w:space="0" w:color="auto"/>
              <w:left w:val="single" w:sz="4" w:space="0" w:color="auto"/>
              <w:right w:val="single" w:sz="4" w:space="0" w:color="auto"/>
            </w:tcBorders>
            <w:vAlign w:val="center"/>
          </w:tcPr>
          <w:p>
            <w:pPr>
              <w:jc w:val="center"/>
              <w:rPr>
                <w:szCs w:val="21"/>
              </w:rPr>
            </w:pPr>
            <w:r>
              <w:rPr>
                <w:szCs w:val="21"/>
              </w:rPr>
              <w:t>电  话</w:t>
            </w:r>
          </w:p>
        </w:tc>
        <w:tc>
          <w:tcPr>
            <w:tcW w:w="2706" w:type="dxa"/>
            <w:gridSpan w:val="3"/>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vMerge/>
            <w:tcBorders>
              <w:top w:val="single" w:sz="4" w:space="0" w:color="auto"/>
              <w:left w:val="single" w:sz="4" w:space="0" w:color="auto"/>
              <w:right w:val="single" w:sz="4" w:space="0" w:color="auto"/>
            </w:tcBorders>
            <w:vAlign w:val="center"/>
          </w:tcP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传  真</w:t>
            </w:r>
          </w:p>
        </w:tc>
        <w:tc>
          <w:tcPr>
            <w:tcW w:w="2492" w:type="dxa"/>
            <w:gridSpan w:val="3"/>
            <w:tcBorders>
              <w:top w:val="single" w:sz="4" w:space="0" w:color="auto"/>
              <w:left w:val="single" w:sz="4" w:space="0" w:color="auto"/>
              <w:right w:val="single" w:sz="4" w:space="0" w:color="auto"/>
            </w:tcBorders>
            <w:vAlign w:val="center"/>
          </w:tcPr>
          <w:p>
            <w:pPr>
              <w:jc w:val="center"/>
              <w:rPr>
                <w:szCs w:val="21"/>
              </w:rPr>
            </w:pPr>
          </w:p>
        </w:tc>
        <w:tc>
          <w:tcPr>
            <w:tcW w:w="1246" w:type="dxa"/>
            <w:tcBorders>
              <w:top w:val="single" w:sz="4" w:space="0" w:color="auto"/>
              <w:left w:val="single" w:sz="4" w:space="0" w:color="auto"/>
              <w:right w:val="single" w:sz="4" w:space="0" w:color="auto"/>
            </w:tcBorders>
            <w:vAlign w:val="center"/>
          </w:tcPr>
          <w:p>
            <w:pPr>
              <w:jc w:val="center"/>
              <w:rPr>
                <w:szCs w:val="21"/>
              </w:rPr>
            </w:pPr>
            <w:r>
              <w:rPr>
                <w:szCs w:val="21"/>
              </w:rPr>
              <w:t>网  址</w:t>
            </w:r>
          </w:p>
        </w:tc>
        <w:tc>
          <w:tcPr>
            <w:tcW w:w="2706" w:type="dxa"/>
            <w:gridSpan w:val="3"/>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统一社会信用代码</w:t>
            </w:r>
          </w:p>
        </w:tc>
        <w:tc>
          <w:tcPr>
            <w:tcW w:w="7341" w:type="dxa"/>
            <w:gridSpan w:val="8"/>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法定代表人</w:t>
            </w: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姓名</w:t>
            </w:r>
          </w:p>
        </w:tc>
        <w:tc>
          <w:tcPr>
            <w:tcW w:w="1021" w:type="dxa"/>
            <w:tcBorders>
              <w:top w:val="single" w:sz="4" w:space="0" w:color="auto"/>
              <w:left w:val="single" w:sz="4" w:space="0" w:color="auto"/>
              <w:right w:val="single" w:sz="4" w:space="0" w:color="auto"/>
            </w:tcBorders>
            <w:vAlign w:val="center"/>
          </w:tcPr>
          <w:p>
            <w:pPr>
              <w:jc w:val="center"/>
              <w:rPr>
                <w:szCs w:val="21"/>
              </w:rPr>
            </w:pPr>
          </w:p>
        </w:tc>
        <w:tc>
          <w:tcPr>
            <w:tcW w:w="1160" w:type="dxa"/>
            <w:tcBorders>
              <w:top w:val="single" w:sz="4" w:space="0" w:color="auto"/>
              <w:left w:val="single" w:sz="4" w:space="0" w:color="auto"/>
              <w:right w:val="single" w:sz="4" w:space="0" w:color="auto"/>
            </w:tcBorders>
            <w:vAlign w:val="center"/>
          </w:tcPr>
          <w:p>
            <w:pPr>
              <w:jc w:val="center"/>
              <w:rPr>
                <w:szCs w:val="21"/>
              </w:rPr>
            </w:pPr>
            <w:r>
              <w:rPr>
                <w:szCs w:val="21"/>
              </w:rPr>
              <w:t>技术职称</w:t>
            </w:r>
          </w:p>
        </w:tc>
        <w:tc>
          <w:tcPr>
            <w:tcW w:w="1620" w:type="dxa"/>
            <w:gridSpan w:val="3"/>
            <w:tcBorders>
              <w:top w:val="single" w:sz="4" w:space="0" w:color="auto"/>
              <w:left w:val="single" w:sz="4" w:space="0" w:color="auto"/>
              <w:right w:val="single" w:sz="4" w:space="0" w:color="auto"/>
            </w:tcBorders>
            <w:vAlign w:val="center"/>
          </w:tcPr>
          <w:p>
            <w:pPr>
              <w:jc w:val="center"/>
              <w:rPr>
                <w:szCs w:val="21"/>
              </w:rPr>
            </w:pPr>
          </w:p>
        </w:tc>
        <w:tc>
          <w:tcPr>
            <w:tcW w:w="720" w:type="dxa"/>
            <w:tcBorders>
              <w:top w:val="single" w:sz="4" w:space="0" w:color="auto"/>
              <w:left w:val="single" w:sz="4" w:space="0" w:color="auto"/>
              <w:right w:val="single" w:sz="4" w:space="0" w:color="auto"/>
            </w:tcBorders>
            <w:vAlign w:val="center"/>
          </w:tcPr>
          <w:p>
            <w:pPr>
              <w:jc w:val="center"/>
              <w:rPr>
                <w:szCs w:val="21"/>
              </w:rPr>
            </w:pPr>
            <w:r>
              <w:rPr>
                <w:szCs w:val="21"/>
              </w:rPr>
              <w:t>电话</w:t>
            </w:r>
          </w:p>
        </w:tc>
        <w:tc>
          <w:tcPr>
            <w:tcW w:w="192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技术负责人</w:t>
            </w:r>
          </w:p>
        </w:tc>
        <w:tc>
          <w:tcPr>
            <w:tcW w:w="897" w:type="dxa"/>
            <w:tcBorders>
              <w:top w:val="single" w:sz="4" w:space="0" w:color="auto"/>
              <w:left w:val="single" w:sz="4" w:space="0" w:color="auto"/>
              <w:right w:val="single" w:sz="4" w:space="0" w:color="auto"/>
            </w:tcBorders>
            <w:vAlign w:val="center"/>
          </w:tcPr>
          <w:p>
            <w:pPr>
              <w:jc w:val="center"/>
              <w:rPr>
                <w:szCs w:val="21"/>
              </w:rPr>
            </w:pPr>
            <w:r>
              <w:rPr>
                <w:szCs w:val="21"/>
              </w:rPr>
              <w:t>姓名</w:t>
            </w:r>
          </w:p>
        </w:tc>
        <w:tc>
          <w:tcPr>
            <w:tcW w:w="1021" w:type="dxa"/>
            <w:tcBorders>
              <w:top w:val="single" w:sz="4" w:space="0" w:color="auto"/>
              <w:left w:val="single" w:sz="4" w:space="0" w:color="auto"/>
              <w:right w:val="single" w:sz="4" w:space="0" w:color="auto"/>
            </w:tcBorders>
            <w:vAlign w:val="center"/>
          </w:tcPr>
          <w:p>
            <w:pPr>
              <w:jc w:val="center"/>
              <w:rPr>
                <w:szCs w:val="21"/>
              </w:rPr>
            </w:pPr>
          </w:p>
        </w:tc>
        <w:tc>
          <w:tcPr>
            <w:tcW w:w="1160" w:type="dxa"/>
            <w:tcBorders>
              <w:top w:val="single" w:sz="4" w:space="0" w:color="auto"/>
              <w:left w:val="single" w:sz="4" w:space="0" w:color="auto"/>
              <w:right w:val="single" w:sz="4" w:space="0" w:color="auto"/>
            </w:tcBorders>
            <w:vAlign w:val="center"/>
          </w:tcPr>
          <w:p>
            <w:pPr>
              <w:jc w:val="center"/>
              <w:rPr>
                <w:szCs w:val="21"/>
              </w:rPr>
            </w:pPr>
            <w:r>
              <w:rPr>
                <w:szCs w:val="21"/>
              </w:rPr>
              <w:t>技术职称</w:t>
            </w:r>
          </w:p>
        </w:tc>
        <w:tc>
          <w:tcPr>
            <w:tcW w:w="1620" w:type="dxa"/>
            <w:gridSpan w:val="3"/>
            <w:tcBorders>
              <w:top w:val="single" w:sz="4" w:space="0" w:color="auto"/>
              <w:left w:val="single" w:sz="4" w:space="0" w:color="auto"/>
              <w:right w:val="single" w:sz="4" w:space="0" w:color="auto"/>
            </w:tcBorders>
            <w:vAlign w:val="center"/>
          </w:tcPr>
          <w:p>
            <w:pPr>
              <w:jc w:val="center"/>
              <w:rPr>
                <w:szCs w:val="21"/>
              </w:rPr>
            </w:pPr>
          </w:p>
        </w:tc>
        <w:tc>
          <w:tcPr>
            <w:tcW w:w="720" w:type="dxa"/>
            <w:tcBorders>
              <w:top w:val="single" w:sz="4" w:space="0" w:color="auto"/>
              <w:left w:val="single" w:sz="4" w:space="0" w:color="auto"/>
              <w:right w:val="single" w:sz="4" w:space="0" w:color="auto"/>
            </w:tcBorders>
            <w:vAlign w:val="center"/>
          </w:tcPr>
          <w:p>
            <w:pPr>
              <w:jc w:val="center"/>
              <w:rPr>
                <w:szCs w:val="21"/>
              </w:rPr>
            </w:pPr>
            <w:r>
              <w:rPr>
                <w:szCs w:val="21"/>
              </w:rPr>
              <w:t>电话</w:t>
            </w:r>
          </w:p>
        </w:tc>
        <w:tc>
          <w:tcPr>
            <w:tcW w:w="192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成立时间</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5423" w:type="dxa"/>
            <w:gridSpan w:val="6"/>
            <w:tcBorders>
              <w:top w:val="single" w:sz="4" w:space="0" w:color="auto"/>
              <w:left w:val="single" w:sz="4" w:space="0" w:color="auto"/>
              <w:right w:val="single" w:sz="4" w:space="0" w:color="auto"/>
            </w:tcBorders>
            <w:vAlign w:val="center"/>
          </w:tcPr>
          <w:p>
            <w:pPr>
              <w:jc w:val="center"/>
              <w:rPr>
                <w:szCs w:val="21"/>
              </w:rPr>
            </w:pPr>
            <w:r>
              <w:rPr>
                <w:szCs w:val="21"/>
              </w:rPr>
              <w:t>员工总人数：</w:t>
            </w: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资质等级</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val="restart"/>
            <w:tcBorders>
              <w:top w:val="single" w:sz="4" w:space="0" w:color="auto"/>
              <w:left w:val="single" w:sz="4" w:space="0" w:color="auto"/>
              <w:right w:val="single" w:sz="4" w:space="0" w:color="auto"/>
            </w:tcBorders>
            <w:vAlign w:val="center"/>
          </w:tcPr>
          <w:p>
            <w:pPr>
              <w:jc w:val="center"/>
              <w:rPr>
                <w:szCs w:val="21"/>
              </w:rPr>
            </w:pPr>
            <w:r>
              <w:rPr>
                <w:szCs w:val="21"/>
              </w:rPr>
              <w:t>其中</w:t>
            </w: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项目经理</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安全生产许可证号</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高级职称人员</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注册资金</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中级职称人员</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开户银行</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初级职称人员</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账号</w:t>
            </w:r>
          </w:p>
        </w:tc>
        <w:tc>
          <w:tcPr>
            <w:tcW w:w="1918" w:type="dxa"/>
            <w:gridSpan w:val="2"/>
            <w:tcBorders>
              <w:top w:val="single" w:sz="4" w:space="0" w:color="auto"/>
              <w:left w:val="single" w:sz="4" w:space="0" w:color="auto"/>
              <w:right w:val="single" w:sz="4" w:space="0" w:color="auto"/>
            </w:tcBorders>
            <w:vAlign w:val="center"/>
          </w:tcPr>
          <w:p>
            <w:pPr>
              <w:jc w:val="center"/>
              <w:rPr>
                <w:szCs w:val="21"/>
              </w:rPr>
            </w:pPr>
          </w:p>
        </w:tc>
        <w:tc>
          <w:tcPr>
            <w:tcW w:w="1160" w:type="dxa"/>
            <w:vMerge/>
            <w:tcBorders>
              <w:top w:val="single" w:sz="4" w:space="0" w:color="auto"/>
              <w:left w:val="single" w:sz="4" w:space="0" w:color="auto"/>
              <w:right w:val="single" w:sz="4" w:space="0" w:color="auto"/>
            </w:tcBorders>
            <w:vAlign w:val="center"/>
          </w:tcPr>
          <w:p/>
        </w:tc>
        <w:tc>
          <w:tcPr>
            <w:tcW w:w="1620" w:type="dxa"/>
            <w:gridSpan w:val="3"/>
            <w:tcBorders>
              <w:top w:val="single" w:sz="4" w:space="0" w:color="auto"/>
              <w:left w:val="single" w:sz="4" w:space="0" w:color="auto"/>
              <w:right w:val="single" w:sz="4" w:space="0" w:color="auto"/>
            </w:tcBorders>
            <w:vAlign w:val="center"/>
          </w:tcPr>
          <w:p>
            <w:pPr>
              <w:jc w:val="center"/>
              <w:rPr>
                <w:szCs w:val="21"/>
              </w:rPr>
            </w:pPr>
            <w:r>
              <w:rPr>
                <w:szCs w:val="21"/>
              </w:rPr>
              <w:t>技  工</w:t>
            </w:r>
          </w:p>
        </w:tc>
        <w:tc>
          <w:tcPr>
            <w:tcW w:w="2643" w:type="dxa"/>
            <w:gridSpan w:val="2"/>
            <w:tcBorders>
              <w:top w:val="single" w:sz="4" w:space="0" w:color="auto"/>
              <w:left w:val="single" w:sz="4" w:space="0" w:color="auto"/>
              <w:right w:val="single" w:sz="4" w:space="0" w:color="auto"/>
            </w:tcBorders>
            <w:vAlign w:val="center"/>
          </w:tcPr>
          <w:p>
            <w:pPr>
              <w:jc w:val="center"/>
              <w:rPr>
                <w:szCs w:val="21"/>
              </w:rPr>
            </w:pPr>
          </w:p>
        </w:tc>
      </w:tr>
      <w:tr>
        <w:trPr>
          <w:trHeight w:val="2231"/>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经营范围</w:t>
            </w:r>
          </w:p>
        </w:tc>
        <w:tc>
          <w:tcPr>
            <w:tcW w:w="7341" w:type="dxa"/>
            <w:gridSpan w:val="8"/>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1626" w:type="dxa"/>
            <w:tcBorders>
              <w:top w:val="single" w:sz="4" w:space="0" w:color="auto"/>
              <w:left w:val="single" w:sz="4" w:space="0" w:color="auto"/>
              <w:right w:val="single" w:sz="4" w:space="0" w:color="auto"/>
            </w:tcBorders>
            <w:vAlign w:val="center"/>
          </w:tcPr>
          <w:p>
            <w:pPr>
              <w:jc w:val="center"/>
              <w:rPr>
                <w:szCs w:val="21"/>
              </w:rPr>
            </w:pPr>
            <w:r>
              <w:rPr>
                <w:szCs w:val="21"/>
              </w:rPr>
              <w:t>备注</w:t>
            </w:r>
          </w:p>
        </w:tc>
        <w:tc>
          <w:tcPr>
            <w:tcW w:w="7341" w:type="dxa"/>
            <w:gridSpan w:val="8"/>
            <w:tcBorders>
              <w:top w:val="single" w:sz="4" w:space="0" w:color="auto"/>
              <w:left w:val="single" w:sz="4" w:space="0" w:color="auto"/>
              <w:right w:val="single" w:sz="4" w:space="0" w:color="auto"/>
            </w:tcBorders>
            <w:vAlign w:val="center"/>
          </w:tcPr>
          <w:p>
            <w:pPr>
              <w:jc w:val="center"/>
              <w:rPr>
                <w:szCs w:val="21"/>
              </w:rPr>
            </w:pPr>
          </w:p>
        </w:tc>
      </w:tr>
    </w:tbl>
    <w:p>
      <w:pPr>
        <w:snapToGrid w:val="0"/>
        <w:spacing w:before="50" w:afterLines="50" w:after="120" w:line="440" w:lineRule="exact"/>
        <w:jc w:val="left"/>
        <w:rPr>
          <w:szCs w:val="21"/>
        </w:rPr>
      </w:pPr>
      <w:r>
        <w:rPr>
          <w:szCs w:val="21"/>
        </w:rPr>
        <w:t>【备注：</w:t>
      </w:r>
      <w:r>
        <w:rPr>
          <w:rFonts w:hint="eastAsia"/>
          <w:szCs w:val="21"/>
        </w:rPr>
        <w:t>附有效的安全生产许可证副本</w:t>
      </w:r>
      <w:r>
        <w:rPr>
          <w:rFonts w:hint="eastAsia"/>
          <w:szCs w:val="21"/>
          <w:lang w:eastAsia="zh-CN"/>
        </w:rPr>
        <w:t>复印件</w:t>
      </w:r>
      <w:r>
        <w:rPr>
          <w:szCs w:val="21"/>
        </w:rPr>
        <w:t>加盖</w:t>
      </w:r>
      <w:bookmarkStart w:id="118" w:name="_Hlk89190857"/>
      <w:r>
        <w:rPr>
          <w:szCs w:val="21"/>
        </w:rPr>
        <w:t>供应商</w:t>
      </w:r>
      <w:r>
        <w:rPr>
          <w:rFonts w:hint="eastAsia"/>
          <w:szCs w:val="21"/>
        </w:rPr>
        <w:t>公章</w:t>
      </w:r>
      <w:bookmarkEnd w:id="118"/>
      <w:r>
        <w:rPr>
          <w:szCs w:val="21"/>
        </w:rPr>
        <w:t>】</w:t>
      </w:r>
    </w:p>
    <w:p>
      <w:pPr>
        <w:snapToGrid w:val="0"/>
        <w:spacing w:before="50" w:afterLines="50" w:after="120" w:line="440" w:lineRule="exact"/>
        <w:jc w:val="left"/>
        <w:rPr>
          <w:b/>
        </w:rPr>
      </w:pPr>
      <w:r>
        <w:rPr>
          <w:szCs w:val="21"/>
        </w:rPr>
        <w:br w:type="page"/>
      </w:r>
      <w:r>
        <w:rPr>
          <w:rFonts w:hint="eastAsia"/>
        </w:rPr>
        <w:t>7</w:t>
      </w:r>
      <w:r>
        <w:t>．满足供应商特定资格条件的其他证明材料加盖</w:t>
      </w:r>
      <w:r>
        <w:rPr>
          <w:szCs w:val="21"/>
        </w:rPr>
        <w:t>供应商</w:t>
      </w:r>
      <w:r>
        <w:rPr>
          <w:rFonts w:hint="eastAsia"/>
          <w:szCs w:val="21"/>
        </w:rPr>
        <w:t>公章</w:t>
      </w:r>
      <w:r>
        <w:t>（按“评审方法及标准” “</w:t>
      </w:r>
      <w:r>
        <w:rPr>
          <w:szCs w:val="21"/>
        </w:rPr>
        <w:t>资格审查表</w:t>
      </w:r>
      <w:r>
        <w:t>”规定提供）。</w:t>
      </w:r>
      <w:r>
        <w:rPr>
          <w:rFonts w:hint="eastAsia"/>
          <w:b/>
        </w:rPr>
        <w:t>（如采购文件有要求时提供）</w:t>
      </w:r>
    </w:p>
    <w:p>
      <w:pPr>
        <w:pStyle w:val="166"/>
        <w:jc w:val="left"/>
        <w:rPr>
          <w:rFonts w:ascii="Times New Roman" w:hAnsi="Times New Roman"/>
        </w:rPr>
      </w:pPr>
    </w:p>
    <w:p>
      <w:pPr>
        <w:pStyle w:val="166"/>
        <w:jc w:val="left"/>
        <w:rPr>
          <w:rFonts w:ascii="Times New Roman" w:hAnsi="Times New Roman"/>
        </w:rPr>
      </w:pPr>
      <w:r>
        <w:rPr>
          <w:rFonts w:ascii="Times New Roman" w:hAnsi="Times New Roman" w:hint="eastAsia"/>
        </w:rPr>
        <w:t>7.1有效的企业资质证书副本</w:t>
      </w:r>
      <w:r>
        <w:rPr>
          <w:rFonts w:hint="eastAsia"/>
          <w:szCs w:val="21"/>
          <w:lang w:eastAsia="zh-CN"/>
        </w:rPr>
        <w:t>复印件</w:t>
      </w:r>
      <w:r>
        <w:rPr>
          <w:rFonts w:ascii="Times New Roman" w:hAnsi="Times New Roman"/>
        </w:rPr>
        <w:t>加盖</w:t>
      </w:r>
      <w:r>
        <w:rPr>
          <w:szCs w:val="21"/>
        </w:rPr>
        <w:t>供应商</w:t>
      </w:r>
      <w:r>
        <w:rPr>
          <w:rFonts w:hint="eastAsia"/>
          <w:szCs w:val="21"/>
        </w:rPr>
        <w:t>公章</w:t>
      </w:r>
    </w:p>
    <w:p>
      <w:pPr>
        <w:pStyle w:val="166"/>
        <w:jc w:val="left"/>
        <w:rPr>
          <w:rFonts w:ascii="Times New Roman" w:hAnsi="Times New Roman"/>
        </w:rPr>
      </w:pPr>
    </w:p>
    <w:p>
      <w:pPr>
        <w:pStyle w:val="166"/>
        <w:jc w:val="left"/>
        <w:rPr>
          <w:rFonts w:ascii="Times New Roman" w:hAnsi="Times New Roman"/>
        </w:rPr>
      </w:pPr>
    </w:p>
    <w:p>
      <w:pPr>
        <w:pStyle w:val="31"/>
        <w:tabs>
          <w:tab w:val="left" w:pos="2127"/>
        </w:tabs>
        <w:spacing w:line="340" w:lineRule="exact"/>
        <w:rPr>
          <w:rFonts w:ascii="Times New Roman" w:hAnsi="Times New Roman"/>
        </w:rPr>
      </w:pPr>
      <w:r>
        <w:rPr>
          <w:rFonts w:ascii="Times New Roman" w:cs="Times New Roman" w:hAnsi="Times New Roman" w:hint="eastAsia"/>
        </w:rPr>
        <w:t>7</w:t>
      </w:r>
      <w:r>
        <w:rPr>
          <w:rFonts w:ascii="Times New Roman" w:cs="Times New Roman" w:hAnsi="Times New Roman"/>
        </w:rPr>
        <w:t>.</w:t>
      </w:r>
      <w:bookmarkStart w:id="119" w:name="_Toc153274948"/>
      <w:bookmarkStart w:id="120" w:name="_Toc172364026"/>
      <w:bookmarkStart w:id="121" w:name="_Toc389065364"/>
      <w:bookmarkStart w:id="122" w:name="_Toc251052200"/>
      <w:bookmarkStart w:id="123" w:name="_Toc173579006"/>
      <w:r>
        <w:rPr>
          <w:rFonts w:ascii="Times New Roman" w:cs="Times New Roman" w:hAnsi="Times New Roman" w:hint="eastAsia"/>
        </w:rPr>
        <w:t>2</w:t>
      </w:r>
      <w:r>
        <w:rPr>
          <w:rFonts w:ascii="Times New Roman" w:hAnsi="Times New Roman"/>
        </w:rPr>
        <w:t>项目经理简历表</w:t>
      </w:r>
      <w:bookmarkEnd w:id="119"/>
      <w:bookmarkEnd w:id="120"/>
      <w:bookmarkEnd w:id="121"/>
      <w:bookmarkEnd w:id="122"/>
      <w:bookmarkEnd w:id="123"/>
    </w:p>
    <w:tbl>
      <w:tblPr>
        <w:jc w:val="cente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3"/>
        <w:gridCol w:w="464"/>
        <w:gridCol w:w="1548"/>
        <w:gridCol w:w="328"/>
        <w:gridCol w:w="1219"/>
        <w:gridCol w:w="674"/>
        <w:gridCol w:w="874"/>
        <w:gridCol w:w="711"/>
        <w:gridCol w:w="836"/>
        <w:gridCol w:w="272"/>
        <w:gridCol w:w="1276"/>
      </w:tblGrid>
      <w:tr>
        <w:trPr>
          <w:trHeight w:val="600"/>
        </w:trPr>
        <w:tc>
          <w:tcPr>
            <w:tcW w:w="1083" w:type="dxa"/>
            <w:tcBorders>
              <w:left w:val="single" w:sz="4" w:space="0" w:color="auto"/>
              <w:right w:val="single" w:sz="4" w:space="0" w:color="auto"/>
            </w:tcBorders>
            <w:vAlign w:val="center"/>
          </w:tcPr>
          <w:p>
            <w:pPr>
              <w:jc w:val="center"/>
            </w:pPr>
            <w:r>
              <w:t>姓名</w:t>
            </w:r>
          </w:p>
        </w:tc>
        <w:tc>
          <w:tcPr>
            <w:tcW w:w="2340" w:type="dxa"/>
            <w:gridSpan w:val="3"/>
            <w:tcBorders>
              <w:left w:val="single" w:sz="4" w:space="0" w:color="auto"/>
              <w:right w:val="single" w:sz="4" w:space="0" w:color="auto"/>
            </w:tcBorders>
            <w:vAlign w:val="center"/>
          </w:tcPr>
          <w:p>
            <w:pPr>
              <w:jc w:val="center"/>
            </w:pPr>
          </w:p>
        </w:tc>
        <w:tc>
          <w:tcPr>
            <w:tcW w:w="1893" w:type="dxa"/>
            <w:gridSpan w:val="2"/>
            <w:tcBorders>
              <w:left w:val="single" w:sz="4" w:space="0" w:color="auto"/>
              <w:right w:val="single" w:sz="4" w:space="0" w:color="auto"/>
            </w:tcBorders>
            <w:vAlign w:val="center"/>
          </w:tcPr>
          <w:p>
            <w:pPr>
              <w:jc w:val="center"/>
            </w:pPr>
            <w:r>
              <w:t>性别</w:t>
            </w:r>
          </w:p>
        </w:tc>
        <w:tc>
          <w:tcPr>
            <w:tcW w:w="1585" w:type="dxa"/>
            <w:gridSpan w:val="2"/>
            <w:tcBorders>
              <w:left w:val="single" w:sz="4" w:space="0" w:color="auto"/>
              <w:right w:val="single" w:sz="4" w:space="0" w:color="auto"/>
            </w:tcBorders>
            <w:vAlign w:val="center"/>
          </w:tcPr>
          <w:p>
            <w:pPr>
              <w:jc w:val="center"/>
            </w:pPr>
          </w:p>
        </w:tc>
        <w:tc>
          <w:tcPr>
            <w:tcW w:w="1108" w:type="dxa"/>
            <w:gridSpan w:val="2"/>
            <w:tcBorders>
              <w:left w:val="single" w:sz="4" w:space="0" w:color="auto"/>
              <w:right w:val="single" w:sz="4" w:space="0" w:color="auto"/>
            </w:tcBorders>
            <w:vAlign w:val="center"/>
          </w:tcPr>
          <w:p>
            <w:pPr>
              <w:jc w:val="center"/>
            </w:pPr>
            <w:r>
              <w:t>年龄</w:t>
            </w:r>
          </w:p>
        </w:tc>
        <w:tc>
          <w:tcPr>
            <w:tcW w:w="1276" w:type="dxa"/>
            <w:tcBorders>
              <w:left w:val="single" w:sz="4" w:space="0" w:color="auto"/>
              <w:right w:val="single" w:sz="4" w:space="0" w:color="auto"/>
            </w:tcBorders>
            <w:vAlign w:val="center"/>
          </w:tcPr>
          <w:p>
            <w:pPr>
              <w:jc w:val="center"/>
            </w:pPr>
          </w:p>
        </w:tc>
      </w:tr>
      <w:tr>
        <w:trPr>
          <w:trHeight w:val="623"/>
        </w:trPr>
        <w:tc>
          <w:tcPr>
            <w:tcW w:w="1083" w:type="dxa"/>
            <w:tcBorders>
              <w:top w:val="single" w:sz="4" w:space="0" w:color="auto"/>
              <w:left w:val="single" w:sz="4" w:space="0" w:color="auto"/>
              <w:right w:val="single" w:sz="4" w:space="0" w:color="auto"/>
            </w:tcBorders>
            <w:vAlign w:val="center"/>
          </w:tcPr>
          <w:p>
            <w:pPr>
              <w:jc w:val="center"/>
            </w:pPr>
            <w:r>
              <w:t>职务</w:t>
            </w:r>
          </w:p>
        </w:tc>
        <w:tc>
          <w:tcPr>
            <w:tcW w:w="2340" w:type="dxa"/>
            <w:gridSpan w:val="3"/>
            <w:tcBorders>
              <w:top w:val="single" w:sz="4" w:space="0" w:color="auto"/>
              <w:left w:val="single" w:sz="4" w:space="0" w:color="auto"/>
              <w:right w:val="single" w:sz="4" w:space="0" w:color="auto"/>
            </w:tcBorders>
            <w:vAlign w:val="center"/>
          </w:tcPr>
          <w:p>
            <w:pPr>
              <w:jc w:val="center"/>
            </w:pPr>
          </w:p>
        </w:tc>
        <w:tc>
          <w:tcPr>
            <w:tcW w:w="1893" w:type="dxa"/>
            <w:gridSpan w:val="2"/>
            <w:tcBorders>
              <w:top w:val="single" w:sz="4" w:space="0" w:color="auto"/>
              <w:left w:val="single" w:sz="4" w:space="0" w:color="auto"/>
              <w:right w:val="single" w:sz="4" w:space="0" w:color="auto"/>
            </w:tcBorders>
            <w:vAlign w:val="center"/>
          </w:tcPr>
          <w:p>
            <w:pPr>
              <w:jc w:val="center"/>
            </w:pPr>
            <w:r>
              <w:t>职称</w:t>
            </w:r>
          </w:p>
        </w:tc>
        <w:tc>
          <w:tcPr>
            <w:tcW w:w="1585" w:type="dxa"/>
            <w:gridSpan w:val="2"/>
            <w:tcBorders>
              <w:top w:val="single" w:sz="4" w:space="0" w:color="auto"/>
              <w:left w:val="single" w:sz="4" w:space="0" w:color="auto"/>
              <w:right w:val="single" w:sz="4" w:space="0" w:color="auto"/>
            </w:tcBorders>
            <w:vAlign w:val="center"/>
          </w:tcPr>
          <w:p>
            <w:pPr>
              <w:jc w:val="center"/>
            </w:pPr>
          </w:p>
        </w:tc>
        <w:tc>
          <w:tcPr>
            <w:tcW w:w="1108" w:type="dxa"/>
            <w:gridSpan w:val="2"/>
            <w:tcBorders>
              <w:top w:val="single" w:sz="4" w:space="0" w:color="auto"/>
              <w:left w:val="single" w:sz="4" w:space="0" w:color="auto"/>
              <w:right w:val="single" w:sz="4" w:space="0" w:color="auto"/>
            </w:tcBorders>
            <w:vAlign w:val="center"/>
          </w:tcPr>
          <w:p>
            <w:pPr>
              <w:jc w:val="center"/>
            </w:pPr>
            <w:r>
              <w:t>学历</w:t>
            </w:r>
          </w:p>
        </w:tc>
        <w:tc>
          <w:tcPr>
            <w:tcW w:w="1276" w:type="dxa"/>
            <w:tcBorders>
              <w:top w:val="single" w:sz="4" w:space="0" w:color="auto"/>
              <w:left w:val="single" w:sz="4" w:space="0" w:color="auto"/>
              <w:right w:val="single" w:sz="4" w:space="0" w:color="auto"/>
            </w:tcBorders>
            <w:vAlign w:val="center"/>
          </w:tcPr>
          <w:p>
            <w:pPr>
              <w:jc w:val="center"/>
            </w:pPr>
          </w:p>
        </w:tc>
      </w:tr>
      <w:tr>
        <w:trPr>
          <w:trHeight w:val="600"/>
        </w:trPr>
        <w:tc>
          <w:tcPr>
            <w:tcW w:w="3423" w:type="dxa"/>
            <w:gridSpan w:val="4"/>
            <w:tcBorders>
              <w:top w:val="single" w:sz="4" w:space="0" w:color="auto"/>
              <w:left w:val="single" w:sz="4" w:space="0" w:color="auto"/>
              <w:right w:val="single" w:sz="4" w:space="0" w:color="auto"/>
            </w:tcBorders>
            <w:vAlign w:val="center"/>
          </w:tcPr>
          <w:p>
            <w:pPr>
              <w:jc w:val="center"/>
            </w:pPr>
            <w:r>
              <w:t>参加工作时间</w:t>
            </w:r>
          </w:p>
        </w:tc>
        <w:tc>
          <w:tcPr>
            <w:tcW w:w="1893" w:type="dxa"/>
            <w:gridSpan w:val="2"/>
            <w:tcBorders>
              <w:top w:val="single" w:sz="4" w:space="0" w:color="auto"/>
              <w:left w:val="single" w:sz="4" w:space="0" w:color="auto"/>
              <w:right w:val="single" w:sz="4" w:space="0" w:color="auto"/>
            </w:tcBorders>
            <w:vAlign w:val="center"/>
          </w:tcPr>
          <w:p>
            <w:pPr>
              <w:jc w:val="center"/>
            </w:pPr>
          </w:p>
        </w:tc>
        <w:tc>
          <w:tcPr>
            <w:tcW w:w="2693" w:type="dxa"/>
            <w:gridSpan w:val="4"/>
            <w:tcBorders>
              <w:top w:val="single" w:sz="4" w:space="0" w:color="auto"/>
              <w:left w:val="single" w:sz="4" w:space="0" w:color="auto"/>
              <w:right w:val="single" w:sz="4" w:space="0" w:color="auto"/>
            </w:tcBorders>
            <w:vAlign w:val="center"/>
          </w:tcPr>
          <w:p>
            <w:pPr>
              <w:jc w:val="center"/>
            </w:pPr>
            <w:r>
              <w:t>担任项目经理年限</w:t>
            </w:r>
          </w:p>
        </w:tc>
        <w:tc>
          <w:tcPr>
            <w:tcW w:w="1276" w:type="dxa"/>
            <w:tcBorders>
              <w:top w:val="single" w:sz="4" w:space="0" w:color="auto"/>
              <w:left w:val="single" w:sz="4" w:space="0" w:color="auto"/>
              <w:right w:val="single" w:sz="4" w:space="0" w:color="auto"/>
            </w:tcBorders>
            <w:vAlign w:val="center"/>
          </w:tcPr>
          <w:p>
            <w:pPr>
              <w:jc w:val="center"/>
            </w:pPr>
          </w:p>
        </w:tc>
      </w:tr>
      <w:tr>
        <w:trPr>
          <w:cantSplit/>
          <w:trHeight w:val="468"/>
        </w:trPr>
        <w:tc>
          <w:tcPr>
            <w:tcW w:w="3423" w:type="dxa"/>
            <w:gridSpan w:val="4"/>
            <w:tcBorders>
              <w:top w:val="single" w:sz="4" w:space="0" w:color="auto"/>
              <w:left w:val="single" w:sz="4" w:space="0" w:color="auto"/>
              <w:right w:val="single" w:sz="4" w:space="0" w:color="auto"/>
            </w:tcBorders>
            <w:vAlign w:val="center"/>
          </w:tcPr>
          <w:p>
            <w:pPr>
              <w:jc w:val="center"/>
            </w:pPr>
            <w:r>
              <w:t>建造师注册编号</w:t>
            </w:r>
          </w:p>
        </w:tc>
        <w:tc>
          <w:tcPr>
            <w:tcW w:w="5862" w:type="dxa"/>
            <w:gridSpan w:val="7"/>
            <w:tcBorders>
              <w:top w:val="single" w:sz="4" w:space="0" w:color="auto"/>
              <w:left w:val="single" w:sz="4" w:space="0" w:color="auto"/>
              <w:right w:val="single" w:sz="4" w:space="0" w:color="auto"/>
            </w:tcBorders>
            <w:vAlign w:val="center"/>
          </w:tcPr>
          <w:p>
            <w:pPr>
              <w:jc w:val="center"/>
            </w:pPr>
          </w:p>
        </w:tc>
      </w:tr>
      <w:tr>
        <w:trPr>
          <w:cantSplit/>
          <w:trHeight w:val="468"/>
        </w:trPr>
        <w:tc>
          <w:tcPr>
            <w:tcW w:w="3423" w:type="dxa"/>
            <w:gridSpan w:val="4"/>
            <w:tcBorders>
              <w:top w:val="single" w:sz="4" w:space="0" w:color="auto"/>
              <w:left w:val="single" w:sz="4" w:space="0" w:color="auto"/>
              <w:right w:val="single" w:sz="4" w:space="0" w:color="auto"/>
            </w:tcBorders>
            <w:vAlign w:val="center"/>
          </w:tcPr>
          <w:p>
            <w:pPr>
              <w:jc w:val="center"/>
            </w:pPr>
            <w:r>
              <w:t>注册专业、等级</w:t>
            </w:r>
          </w:p>
        </w:tc>
        <w:tc>
          <w:tcPr>
            <w:tcW w:w="5862" w:type="dxa"/>
            <w:gridSpan w:val="7"/>
            <w:tcBorders>
              <w:top w:val="single" w:sz="4" w:space="0" w:color="auto"/>
              <w:left w:val="single" w:sz="4" w:space="0" w:color="auto"/>
              <w:right w:val="single" w:sz="4" w:space="0" w:color="auto"/>
            </w:tcBorders>
            <w:vAlign w:val="center"/>
          </w:tcPr>
          <w:p>
            <w:pPr>
              <w:jc w:val="center"/>
            </w:pPr>
          </w:p>
        </w:tc>
      </w:tr>
      <w:tr>
        <w:trPr>
          <w:trHeight w:val="620"/>
        </w:trPr>
        <w:tc>
          <w:tcPr>
            <w:tcW w:w="9285" w:type="dxa"/>
            <w:gridSpan w:val="11"/>
            <w:tcBorders>
              <w:top w:val="single" w:sz="4" w:space="0" w:color="auto"/>
              <w:left w:val="single" w:sz="4" w:space="0" w:color="auto"/>
              <w:right w:val="single" w:sz="4" w:space="0" w:color="auto"/>
            </w:tcBorders>
            <w:vAlign w:val="center"/>
          </w:tcPr>
          <w:p>
            <w:pPr>
              <w:jc w:val="center"/>
            </w:pPr>
            <w:r>
              <w:t>在建和已完工程项目情况</w:t>
            </w:r>
          </w:p>
        </w:tc>
      </w:tr>
      <w:tr>
        <w:trPr>
          <w:trHeight w:val="600"/>
        </w:trPr>
        <w:tc>
          <w:tcPr>
            <w:tcW w:w="1547" w:type="dxa"/>
            <w:gridSpan w:val="2"/>
            <w:tcBorders>
              <w:top w:val="single" w:sz="4" w:space="0" w:color="auto"/>
              <w:left w:val="single" w:sz="4" w:space="0" w:color="auto"/>
              <w:right w:val="single" w:sz="4" w:space="0" w:color="auto"/>
            </w:tcBorders>
            <w:vAlign w:val="center"/>
          </w:tcPr>
          <w:p>
            <w:pPr>
              <w:jc w:val="center"/>
            </w:pPr>
            <w:r>
              <w:t>建设单位</w:t>
            </w:r>
          </w:p>
        </w:tc>
        <w:tc>
          <w:tcPr>
            <w:tcW w:w="1548" w:type="dxa"/>
            <w:tcBorders>
              <w:top w:val="single" w:sz="4" w:space="0" w:color="auto"/>
              <w:left w:val="single" w:sz="4" w:space="0" w:color="auto"/>
              <w:right w:val="single" w:sz="4" w:space="0" w:color="auto"/>
            </w:tcBorders>
            <w:vAlign w:val="center"/>
          </w:tcPr>
          <w:p>
            <w:pPr>
              <w:jc w:val="center"/>
            </w:pPr>
            <w:r>
              <w:t>项目名称</w:t>
            </w:r>
          </w:p>
        </w:tc>
        <w:tc>
          <w:tcPr>
            <w:tcW w:w="1547" w:type="dxa"/>
            <w:gridSpan w:val="2"/>
            <w:tcBorders>
              <w:top w:val="single" w:sz="4" w:space="0" w:color="auto"/>
              <w:left w:val="single" w:sz="4" w:space="0" w:color="auto"/>
              <w:right w:val="single" w:sz="4" w:space="0" w:color="auto"/>
            </w:tcBorders>
            <w:vAlign w:val="center"/>
          </w:tcPr>
          <w:p>
            <w:pPr>
              <w:jc w:val="center"/>
            </w:pPr>
            <w:r>
              <w:t>建设规模</w:t>
            </w:r>
          </w:p>
        </w:tc>
        <w:tc>
          <w:tcPr>
            <w:tcW w:w="1548" w:type="dxa"/>
            <w:gridSpan w:val="2"/>
            <w:tcBorders>
              <w:top w:val="single" w:sz="4" w:space="0" w:color="auto"/>
              <w:left w:val="single" w:sz="4" w:space="0" w:color="auto"/>
              <w:right w:val="single" w:sz="4" w:space="0" w:color="auto"/>
            </w:tcBorders>
            <w:vAlign w:val="center"/>
          </w:tcPr>
          <w:p>
            <w:pPr>
              <w:jc w:val="center"/>
            </w:pPr>
            <w:r>
              <w:t>开、竣工日期</w:t>
            </w:r>
          </w:p>
        </w:tc>
        <w:tc>
          <w:tcPr>
            <w:tcW w:w="1547" w:type="dxa"/>
            <w:gridSpan w:val="2"/>
            <w:tcBorders>
              <w:top w:val="single" w:sz="4" w:space="0" w:color="auto"/>
              <w:left w:val="single" w:sz="4" w:space="0" w:color="auto"/>
              <w:right w:val="single" w:sz="4" w:space="0" w:color="auto"/>
            </w:tcBorders>
            <w:vAlign w:val="center"/>
          </w:tcPr>
          <w:p>
            <w:pPr>
              <w:jc w:val="center"/>
            </w:pPr>
            <w:r>
              <w:t>在建或已完</w:t>
            </w:r>
          </w:p>
        </w:tc>
        <w:tc>
          <w:tcPr>
            <w:tcW w:w="1548" w:type="dxa"/>
            <w:gridSpan w:val="2"/>
            <w:tcBorders>
              <w:top w:val="single" w:sz="4" w:space="0" w:color="auto"/>
              <w:left w:val="single" w:sz="4" w:space="0" w:color="auto"/>
              <w:right w:val="single" w:sz="4" w:space="0" w:color="auto"/>
            </w:tcBorders>
            <w:vAlign w:val="center"/>
          </w:tcPr>
          <w:p>
            <w:pPr>
              <w:jc w:val="center"/>
            </w:pPr>
            <w:r>
              <w:t>工程质量</w:t>
            </w: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bl>
    <w:p>
      <w:pPr>
        <w:pStyle w:val="166"/>
        <w:rPr>
          <w:rFonts w:ascii="Times New Roman" w:hAnsi="Times New Roman"/>
        </w:rPr>
      </w:pPr>
      <w:r>
        <w:rPr>
          <w:rFonts w:ascii="Times New Roman" w:hAnsi="Times New Roman"/>
        </w:rPr>
        <w:t>备注：附项目经理注册建造师注册证书、安全生产考核合格证书（B证）、响应文件递交截止时间前6个月内</w:t>
      </w:r>
      <w:r>
        <w:t>任意</w:t>
      </w:r>
      <w:r>
        <w:rPr>
          <w:rFonts w:ascii="Times New Roman" w:hAnsi="Times New Roman" w:hint="eastAsia"/>
        </w:rPr>
        <w:t>1个月</w:t>
      </w:r>
      <w:r>
        <w:rPr>
          <w:rFonts w:ascii="Times New Roman" w:hAnsi="Times New Roman"/>
        </w:rPr>
        <w:t>在现任职单位依法缴纳社会保险的凭证和已完工程中标（成交）通知书、工程合同协议书、工程竣工验收证明材料，以及供应商认为需要增加的其他证明材料</w:t>
      </w:r>
      <w:r>
        <w:rPr>
          <w:rFonts w:hint="eastAsia"/>
          <w:szCs w:val="21"/>
          <w:lang w:eastAsia="zh-CN"/>
        </w:rPr>
        <w:t>复印件</w:t>
      </w:r>
      <w:r>
        <w:rPr>
          <w:rFonts w:ascii="Times New Roman" w:hAnsi="Times New Roman"/>
        </w:rPr>
        <w:t>，以上</w:t>
      </w:r>
      <w:r>
        <w:rPr>
          <w:rFonts w:hint="eastAsia"/>
          <w:szCs w:val="21"/>
          <w:lang w:eastAsia="zh-CN"/>
        </w:rPr>
        <w:t>复印件</w:t>
      </w:r>
      <w:r>
        <w:rPr>
          <w:rFonts w:ascii="Times New Roman" w:hAnsi="Times New Roman"/>
        </w:rPr>
        <w:t>须加盖</w:t>
      </w:r>
      <w:r>
        <w:rPr>
          <w:szCs w:val="21"/>
        </w:rPr>
        <w:t>供应商</w:t>
      </w:r>
      <w:r>
        <w:rPr>
          <w:rFonts w:hint="eastAsia"/>
          <w:szCs w:val="21"/>
        </w:rPr>
        <w:t>公章</w:t>
      </w:r>
      <w:r>
        <w:rPr>
          <w:rFonts w:ascii="Times New Roman" w:hAnsi="Times New Roman"/>
        </w:rPr>
        <w:t>。</w:t>
      </w:r>
      <w:bookmarkStart w:id="124" w:name="_Toc173579007"/>
      <w:bookmarkStart w:id="125" w:name="_Toc153274949"/>
      <w:bookmarkStart w:id="126" w:name="_Toc172364027"/>
      <w:bookmarkStart w:id="127" w:name="_Toc251052219"/>
      <w:bookmarkStart w:id="128" w:name="_Toc389065365"/>
    </w:p>
    <w:p>
      <w:pPr>
        <w:pStyle w:val="166"/>
        <w:rPr>
          <w:rFonts w:ascii="Times New Roman" w:hAnsi="Times New Roman"/>
        </w:rPr>
      </w:pPr>
    </w:p>
    <w:p>
      <w:pPr>
        <w:pStyle w:val="166"/>
        <w:rPr>
          <w:rFonts w:ascii="Times New Roman" w:hAnsi="Times New Roman"/>
        </w:rPr>
      </w:pPr>
    </w:p>
    <w:p>
      <w:pPr>
        <w:pStyle w:val="166"/>
        <w:rPr>
          <w:rFonts w:ascii="Times New Roman" w:hAnsi="Times New Roman"/>
        </w:rPr>
      </w:pPr>
      <w:r>
        <w:rPr>
          <w:rFonts w:ascii="Times New Roman" w:hAnsi="Times New Roman" w:hint="eastAsia"/>
        </w:rPr>
        <w:t>7</w:t>
      </w:r>
      <w:r>
        <w:rPr>
          <w:rFonts w:ascii="Times New Roman" w:hAnsi="Times New Roman"/>
        </w:rPr>
        <w:t>.</w:t>
      </w:r>
      <w:r>
        <w:rPr>
          <w:rFonts w:ascii="Times New Roman" w:hAnsi="Times New Roman" w:hint="eastAsia"/>
        </w:rPr>
        <w:t>3</w:t>
      </w:r>
      <w:r>
        <w:rPr>
          <w:rFonts w:ascii="Times New Roman" w:hAnsi="Times New Roman"/>
        </w:rPr>
        <w:t>项目技术负责人简历表</w:t>
      </w:r>
      <w:bookmarkEnd w:id="124"/>
      <w:bookmarkEnd w:id="125"/>
      <w:bookmarkEnd w:id="126"/>
      <w:bookmarkEnd w:id="127"/>
      <w:bookmarkEnd w:id="128"/>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3"/>
        <w:gridCol w:w="464"/>
        <w:gridCol w:w="1548"/>
        <w:gridCol w:w="328"/>
        <w:gridCol w:w="1219"/>
        <w:gridCol w:w="674"/>
        <w:gridCol w:w="874"/>
        <w:gridCol w:w="711"/>
        <w:gridCol w:w="836"/>
        <w:gridCol w:w="272"/>
        <w:gridCol w:w="1276"/>
      </w:tblGrid>
      <w:tr>
        <w:trPr>
          <w:trHeight w:val="600"/>
        </w:trPr>
        <w:tc>
          <w:tcPr>
            <w:tcW w:w="1083" w:type="dxa"/>
            <w:tcBorders>
              <w:left w:val="single" w:sz="4" w:space="0" w:color="auto"/>
              <w:right w:val="single" w:sz="4" w:space="0" w:color="auto"/>
            </w:tcBorders>
            <w:vAlign w:val="center"/>
          </w:tcPr>
          <w:p>
            <w:pPr>
              <w:jc w:val="center"/>
            </w:pPr>
            <w:r>
              <w:t>姓名</w:t>
            </w:r>
          </w:p>
        </w:tc>
        <w:tc>
          <w:tcPr>
            <w:tcW w:w="2340" w:type="dxa"/>
            <w:gridSpan w:val="3"/>
            <w:tcBorders>
              <w:left w:val="single" w:sz="4" w:space="0" w:color="auto"/>
              <w:right w:val="single" w:sz="4" w:space="0" w:color="auto"/>
            </w:tcBorders>
            <w:vAlign w:val="center"/>
          </w:tcPr>
          <w:p>
            <w:pPr>
              <w:jc w:val="center"/>
            </w:pPr>
          </w:p>
        </w:tc>
        <w:tc>
          <w:tcPr>
            <w:tcW w:w="1893" w:type="dxa"/>
            <w:gridSpan w:val="2"/>
            <w:tcBorders>
              <w:left w:val="single" w:sz="4" w:space="0" w:color="auto"/>
              <w:right w:val="single" w:sz="4" w:space="0" w:color="auto"/>
            </w:tcBorders>
            <w:vAlign w:val="center"/>
          </w:tcPr>
          <w:p>
            <w:pPr>
              <w:jc w:val="center"/>
            </w:pPr>
            <w:r>
              <w:t>性别</w:t>
            </w:r>
          </w:p>
        </w:tc>
        <w:tc>
          <w:tcPr>
            <w:tcW w:w="1585" w:type="dxa"/>
            <w:gridSpan w:val="2"/>
            <w:tcBorders>
              <w:left w:val="single" w:sz="4" w:space="0" w:color="auto"/>
              <w:right w:val="single" w:sz="4" w:space="0" w:color="auto"/>
            </w:tcBorders>
            <w:vAlign w:val="center"/>
          </w:tcPr>
          <w:p>
            <w:pPr>
              <w:jc w:val="center"/>
            </w:pPr>
          </w:p>
        </w:tc>
        <w:tc>
          <w:tcPr>
            <w:tcW w:w="1108" w:type="dxa"/>
            <w:gridSpan w:val="2"/>
            <w:tcBorders>
              <w:left w:val="single" w:sz="4" w:space="0" w:color="auto"/>
              <w:right w:val="single" w:sz="4" w:space="0" w:color="auto"/>
            </w:tcBorders>
            <w:vAlign w:val="center"/>
          </w:tcPr>
          <w:p>
            <w:pPr>
              <w:jc w:val="center"/>
            </w:pPr>
            <w:r>
              <w:t>年龄</w:t>
            </w:r>
          </w:p>
        </w:tc>
        <w:tc>
          <w:tcPr>
            <w:tcW w:w="1276" w:type="dxa"/>
            <w:tcBorders>
              <w:left w:val="single" w:sz="4" w:space="0" w:color="auto"/>
              <w:right w:val="single" w:sz="4" w:space="0" w:color="auto"/>
            </w:tcBorders>
            <w:vAlign w:val="center"/>
          </w:tcPr>
          <w:p>
            <w:pPr>
              <w:jc w:val="center"/>
            </w:pPr>
          </w:p>
        </w:tc>
      </w:tr>
      <w:tr>
        <w:trPr>
          <w:trHeight w:val="623"/>
        </w:trPr>
        <w:tc>
          <w:tcPr>
            <w:tcW w:w="1083" w:type="dxa"/>
            <w:tcBorders>
              <w:top w:val="single" w:sz="4" w:space="0" w:color="auto"/>
              <w:left w:val="single" w:sz="4" w:space="0" w:color="auto"/>
              <w:right w:val="single" w:sz="4" w:space="0" w:color="auto"/>
            </w:tcBorders>
            <w:vAlign w:val="center"/>
          </w:tcPr>
          <w:p>
            <w:pPr>
              <w:jc w:val="center"/>
            </w:pPr>
            <w:r>
              <w:t>职务</w:t>
            </w:r>
          </w:p>
        </w:tc>
        <w:tc>
          <w:tcPr>
            <w:tcW w:w="2340" w:type="dxa"/>
            <w:gridSpan w:val="3"/>
            <w:tcBorders>
              <w:top w:val="single" w:sz="4" w:space="0" w:color="auto"/>
              <w:left w:val="single" w:sz="4" w:space="0" w:color="auto"/>
              <w:right w:val="single" w:sz="4" w:space="0" w:color="auto"/>
            </w:tcBorders>
            <w:vAlign w:val="center"/>
          </w:tcPr>
          <w:p>
            <w:pPr>
              <w:jc w:val="center"/>
            </w:pPr>
          </w:p>
        </w:tc>
        <w:tc>
          <w:tcPr>
            <w:tcW w:w="1893" w:type="dxa"/>
            <w:gridSpan w:val="2"/>
            <w:tcBorders>
              <w:top w:val="single" w:sz="4" w:space="0" w:color="auto"/>
              <w:left w:val="single" w:sz="4" w:space="0" w:color="auto"/>
              <w:right w:val="single" w:sz="4" w:space="0" w:color="auto"/>
            </w:tcBorders>
            <w:vAlign w:val="center"/>
          </w:tcPr>
          <w:p>
            <w:pPr>
              <w:jc w:val="center"/>
            </w:pPr>
            <w:r>
              <w:t>职称</w:t>
            </w:r>
          </w:p>
        </w:tc>
        <w:tc>
          <w:tcPr>
            <w:tcW w:w="1585" w:type="dxa"/>
            <w:gridSpan w:val="2"/>
            <w:tcBorders>
              <w:top w:val="single" w:sz="4" w:space="0" w:color="auto"/>
              <w:left w:val="single" w:sz="4" w:space="0" w:color="auto"/>
              <w:right w:val="single" w:sz="4" w:space="0" w:color="auto"/>
            </w:tcBorders>
            <w:vAlign w:val="center"/>
          </w:tcPr>
          <w:p>
            <w:pPr>
              <w:jc w:val="center"/>
            </w:pPr>
          </w:p>
        </w:tc>
        <w:tc>
          <w:tcPr>
            <w:tcW w:w="1108" w:type="dxa"/>
            <w:gridSpan w:val="2"/>
            <w:tcBorders>
              <w:top w:val="single" w:sz="4" w:space="0" w:color="auto"/>
              <w:left w:val="single" w:sz="4" w:space="0" w:color="auto"/>
              <w:right w:val="single" w:sz="4" w:space="0" w:color="auto"/>
            </w:tcBorders>
            <w:vAlign w:val="center"/>
          </w:tcPr>
          <w:p>
            <w:pPr>
              <w:jc w:val="center"/>
            </w:pPr>
            <w:r>
              <w:t>学历</w:t>
            </w:r>
          </w:p>
        </w:tc>
        <w:tc>
          <w:tcPr>
            <w:tcW w:w="1276" w:type="dxa"/>
            <w:tcBorders>
              <w:top w:val="single" w:sz="4" w:space="0" w:color="auto"/>
              <w:left w:val="single" w:sz="4" w:space="0" w:color="auto"/>
              <w:right w:val="single" w:sz="4" w:space="0" w:color="auto"/>
            </w:tcBorders>
            <w:vAlign w:val="center"/>
          </w:tcPr>
          <w:p>
            <w:pPr>
              <w:jc w:val="center"/>
            </w:pPr>
          </w:p>
        </w:tc>
      </w:tr>
      <w:tr>
        <w:trPr>
          <w:trHeight w:val="600"/>
        </w:trPr>
        <w:tc>
          <w:tcPr>
            <w:tcW w:w="3423" w:type="dxa"/>
            <w:gridSpan w:val="4"/>
            <w:tcBorders>
              <w:top w:val="single" w:sz="4" w:space="0" w:color="auto"/>
              <w:left w:val="single" w:sz="4" w:space="0" w:color="auto"/>
              <w:right w:val="single" w:sz="4" w:space="0" w:color="auto"/>
            </w:tcBorders>
            <w:vAlign w:val="center"/>
          </w:tcPr>
          <w:p>
            <w:pPr>
              <w:jc w:val="center"/>
            </w:pPr>
            <w:r>
              <w:t>参加工作时间</w:t>
            </w:r>
          </w:p>
        </w:tc>
        <w:tc>
          <w:tcPr>
            <w:tcW w:w="1893" w:type="dxa"/>
            <w:gridSpan w:val="2"/>
            <w:tcBorders>
              <w:top w:val="single" w:sz="4" w:space="0" w:color="auto"/>
              <w:left w:val="single" w:sz="4" w:space="0" w:color="auto"/>
              <w:right w:val="single" w:sz="4" w:space="0" w:color="auto"/>
            </w:tcBorders>
            <w:vAlign w:val="center"/>
          </w:tcPr>
          <w:p>
            <w:pPr>
              <w:jc w:val="center"/>
            </w:pPr>
          </w:p>
        </w:tc>
        <w:tc>
          <w:tcPr>
            <w:tcW w:w="2693" w:type="dxa"/>
            <w:gridSpan w:val="4"/>
            <w:tcBorders>
              <w:top w:val="single" w:sz="4" w:space="0" w:color="auto"/>
              <w:left w:val="single" w:sz="4" w:space="0" w:color="auto"/>
              <w:right w:val="single" w:sz="4" w:space="0" w:color="auto"/>
            </w:tcBorders>
            <w:vAlign w:val="center"/>
          </w:tcPr>
          <w:p>
            <w:pPr>
              <w:jc w:val="center"/>
            </w:pPr>
            <w:r>
              <w:t>担任技术负责人年限</w:t>
            </w:r>
          </w:p>
        </w:tc>
        <w:tc>
          <w:tcPr>
            <w:tcW w:w="1276" w:type="dxa"/>
            <w:tcBorders>
              <w:top w:val="single" w:sz="4" w:space="0" w:color="auto"/>
              <w:left w:val="single" w:sz="4" w:space="0" w:color="auto"/>
              <w:right w:val="single" w:sz="4" w:space="0" w:color="auto"/>
            </w:tcBorders>
            <w:vAlign w:val="center"/>
          </w:tcPr>
          <w:p>
            <w:pPr>
              <w:jc w:val="center"/>
            </w:pPr>
          </w:p>
        </w:tc>
      </w:tr>
      <w:tr>
        <w:trPr>
          <w:trHeight w:val="620"/>
        </w:trPr>
        <w:tc>
          <w:tcPr>
            <w:tcW w:w="9285" w:type="dxa"/>
            <w:gridSpan w:val="11"/>
            <w:tcBorders>
              <w:top w:val="single" w:sz="4" w:space="0" w:color="auto"/>
              <w:left w:val="single" w:sz="4" w:space="0" w:color="auto"/>
              <w:right w:val="single" w:sz="4" w:space="0" w:color="auto"/>
            </w:tcBorders>
            <w:vAlign w:val="center"/>
          </w:tcPr>
          <w:p>
            <w:pPr>
              <w:jc w:val="center"/>
            </w:pPr>
            <w:r>
              <w:t>在建和已完工程项目情况</w:t>
            </w:r>
          </w:p>
        </w:tc>
      </w:tr>
      <w:tr>
        <w:trPr>
          <w:trHeight w:val="600"/>
        </w:trPr>
        <w:tc>
          <w:tcPr>
            <w:tcW w:w="1547" w:type="dxa"/>
            <w:gridSpan w:val="2"/>
            <w:tcBorders>
              <w:top w:val="single" w:sz="4" w:space="0" w:color="auto"/>
              <w:left w:val="single" w:sz="4" w:space="0" w:color="auto"/>
              <w:right w:val="single" w:sz="4" w:space="0" w:color="auto"/>
            </w:tcBorders>
            <w:vAlign w:val="center"/>
          </w:tcPr>
          <w:p>
            <w:pPr>
              <w:jc w:val="center"/>
            </w:pPr>
            <w:r>
              <w:t>建设单位</w:t>
            </w:r>
          </w:p>
        </w:tc>
        <w:tc>
          <w:tcPr>
            <w:tcW w:w="1548" w:type="dxa"/>
            <w:tcBorders>
              <w:top w:val="single" w:sz="4" w:space="0" w:color="auto"/>
              <w:left w:val="single" w:sz="4" w:space="0" w:color="auto"/>
              <w:right w:val="single" w:sz="4" w:space="0" w:color="auto"/>
            </w:tcBorders>
            <w:vAlign w:val="center"/>
          </w:tcPr>
          <w:p>
            <w:pPr>
              <w:jc w:val="center"/>
            </w:pPr>
            <w:r>
              <w:t>项目名称</w:t>
            </w:r>
          </w:p>
        </w:tc>
        <w:tc>
          <w:tcPr>
            <w:tcW w:w="1547" w:type="dxa"/>
            <w:gridSpan w:val="2"/>
            <w:tcBorders>
              <w:top w:val="single" w:sz="4" w:space="0" w:color="auto"/>
              <w:left w:val="single" w:sz="4" w:space="0" w:color="auto"/>
              <w:right w:val="single" w:sz="4" w:space="0" w:color="auto"/>
            </w:tcBorders>
            <w:vAlign w:val="center"/>
          </w:tcPr>
          <w:p>
            <w:pPr>
              <w:jc w:val="center"/>
            </w:pPr>
            <w:r>
              <w:t>建设规模</w:t>
            </w:r>
          </w:p>
        </w:tc>
        <w:tc>
          <w:tcPr>
            <w:tcW w:w="1548" w:type="dxa"/>
            <w:gridSpan w:val="2"/>
            <w:tcBorders>
              <w:top w:val="single" w:sz="4" w:space="0" w:color="auto"/>
              <w:left w:val="single" w:sz="4" w:space="0" w:color="auto"/>
              <w:right w:val="single" w:sz="4" w:space="0" w:color="auto"/>
            </w:tcBorders>
            <w:vAlign w:val="center"/>
          </w:tcPr>
          <w:p>
            <w:pPr>
              <w:jc w:val="center"/>
            </w:pPr>
            <w:r>
              <w:t>开、竣工日期</w:t>
            </w:r>
          </w:p>
        </w:tc>
        <w:tc>
          <w:tcPr>
            <w:tcW w:w="1547" w:type="dxa"/>
            <w:gridSpan w:val="2"/>
            <w:tcBorders>
              <w:top w:val="single" w:sz="4" w:space="0" w:color="auto"/>
              <w:left w:val="single" w:sz="4" w:space="0" w:color="auto"/>
              <w:right w:val="single" w:sz="4" w:space="0" w:color="auto"/>
            </w:tcBorders>
            <w:vAlign w:val="center"/>
          </w:tcPr>
          <w:p>
            <w:pPr>
              <w:jc w:val="center"/>
            </w:pPr>
            <w:r>
              <w:t>在建或已完</w:t>
            </w:r>
          </w:p>
        </w:tc>
        <w:tc>
          <w:tcPr>
            <w:tcW w:w="1548" w:type="dxa"/>
            <w:gridSpan w:val="2"/>
            <w:tcBorders>
              <w:top w:val="single" w:sz="4" w:space="0" w:color="auto"/>
              <w:left w:val="single" w:sz="4" w:space="0" w:color="auto"/>
              <w:right w:val="single" w:sz="4" w:space="0" w:color="auto"/>
            </w:tcBorders>
            <w:vAlign w:val="center"/>
          </w:tcPr>
          <w:p>
            <w:pPr>
              <w:jc w:val="center"/>
            </w:pPr>
            <w:r>
              <w:t>工程质量</w:t>
            </w: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1"/>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r>
        <w:trPr>
          <w:trHeight w:val="549"/>
        </w:trPr>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c>
          <w:tcPr>
            <w:tcW w:w="1547" w:type="dxa"/>
            <w:gridSpan w:val="2"/>
            <w:tcBorders>
              <w:top w:val="single" w:sz="4" w:space="0" w:color="auto"/>
              <w:left w:val="single" w:sz="4" w:space="0" w:color="auto"/>
              <w:right w:val="single" w:sz="4" w:space="0" w:color="auto"/>
            </w:tcBorders>
            <w:vAlign w:val="center"/>
          </w:tcPr>
          <w:p>
            <w:pPr>
              <w:jc w:val="center"/>
            </w:pPr>
          </w:p>
        </w:tc>
        <w:tc>
          <w:tcPr>
            <w:tcW w:w="1548" w:type="dxa"/>
            <w:gridSpan w:val="2"/>
            <w:tcBorders>
              <w:top w:val="single" w:sz="4" w:space="0" w:color="auto"/>
              <w:left w:val="single" w:sz="4" w:space="0" w:color="auto"/>
              <w:right w:val="single" w:sz="4" w:space="0" w:color="auto"/>
            </w:tcBorders>
            <w:vAlign w:val="center"/>
          </w:tcPr>
          <w:p>
            <w:pPr>
              <w:jc w:val="center"/>
            </w:pPr>
          </w:p>
        </w:tc>
      </w:tr>
    </w:tbl>
    <w:p>
      <w:pPr>
        <w:pStyle w:val="166"/>
        <w:rPr>
          <w:rFonts w:ascii="Times New Roman" w:hAnsi="Times New Roman"/>
        </w:rPr>
      </w:pPr>
      <w:r>
        <w:rPr>
          <w:rFonts w:ascii="Times New Roman" w:hAnsi="Times New Roman"/>
        </w:rPr>
        <w:t>备注：附技术负责人的职称证、资格证、响应文件递交截止时间前6个月内</w:t>
      </w:r>
      <w:r>
        <w:rPr>
          <w:rFonts w:ascii="Times New Roman" w:hAnsi="Times New Roman" w:hint="eastAsia"/>
        </w:rPr>
        <w:t>任意1个月</w:t>
      </w:r>
      <w:r>
        <w:rPr>
          <w:rFonts w:ascii="Times New Roman" w:hAnsi="Times New Roman"/>
        </w:rPr>
        <w:t>在现任职单位依法缴纳社会保险的凭证和已完工程中标（成交）通知书、工程合同协议书、工程竣工验收证明材料，以及供应商认为需要增加的其他证明材料</w:t>
      </w:r>
      <w:r>
        <w:rPr>
          <w:rFonts w:hint="eastAsia"/>
          <w:szCs w:val="21"/>
          <w:lang w:eastAsia="zh-CN"/>
        </w:rPr>
        <w:t>复印件</w:t>
      </w:r>
      <w:r>
        <w:rPr>
          <w:rFonts w:ascii="Times New Roman" w:hAnsi="Times New Roman"/>
        </w:rPr>
        <w:t>，以上</w:t>
      </w:r>
      <w:r>
        <w:rPr>
          <w:rFonts w:hint="eastAsia"/>
          <w:szCs w:val="21"/>
          <w:lang w:eastAsia="zh-CN"/>
        </w:rPr>
        <w:t>复印件</w:t>
      </w:r>
      <w:r>
        <w:rPr>
          <w:rFonts w:ascii="Times New Roman" w:hAnsi="Times New Roman"/>
        </w:rPr>
        <w:t>均须加盖</w:t>
      </w:r>
      <w:r>
        <w:rPr>
          <w:szCs w:val="21"/>
        </w:rPr>
        <w:t>供应商</w:t>
      </w:r>
      <w:r>
        <w:rPr>
          <w:rFonts w:hint="eastAsia"/>
          <w:szCs w:val="21"/>
        </w:rPr>
        <w:t>公章</w:t>
      </w:r>
      <w:r>
        <w:rPr>
          <w:rFonts w:ascii="Times New Roman" w:hAnsi="Times New Roman"/>
        </w:rPr>
        <w:t>。</w:t>
      </w:r>
    </w:p>
    <w:p>
      <w:pPr>
        <w:pStyle w:val="166"/>
        <w:rPr>
          <w:rFonts w:ascii="Times New Roman" w:hAnsi="Times New Roman"/>
        </w:rPr>
      </w:pPr>
    </w:p>
    <w:p>
      <w:pPr>
        <w:pStyle w:val="166"/>
        <w:rPr>
          <w:rFonts w:ascii="Times New Roman" w:hAnsi="Times New Roman"/>
        </w:rPr>
      </w:pPr>
    </w:p>
    <w:p>
      <w:pPr>
        <w:pStyle w:val="166"/>
        <w:jc w:val="left"/>
        <w:rPr>
          <w:rFonts w:ascii="Times New Roman" w:hAnsi="Times New Roman"/>
        </w:rPr>
      </w:pPr>
      <w:r>
        <w:rPr>
          <w:rFonts w:ascii="Times New Roman" w:hAnsi="Times New Roman" w:hint="eastAsia"/>
        </w:rPr>
        <w:t>7</w:t>
      </w:r>
      <w:r>
        <w:rPr>
          <w:rFonts w:ascii="Times New Roman" w:hAnsi="Times New Roman"/>
        </w:rPr>
        <w:t>.</w:t>
      </w:r>
      <w:r>
        <w:rPr>
          <w:rFonts w:ascii="Times New Roman" w:hAnsi="Times New Roman" w:hint="eastAsia"/>
        </w:rPr>
        <w:t>4</w:t>
      </w:r>
      <w:r>
        <w:rPr>
          <w:rFonts w:ascii="Times New Roman" w:hAnsi="Times New Roman"/>
        </w:rPr>
        <w:t>项目管理机构其他人员配备情况表</w:t>
      </w:r>
    </w:p>
    <w:tbl>
      <w:tblPr>
        <w:jc w:val="cente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829"/>
        <w:gridCol w:w="816"/>
        <w:gridCol w:w="1148"/>
        <w:gridCol w:w="1148"/>
        <w:gridCol w:w="1148"/>
        <w:gridCol w:w="1148"/>
        <w:gridCol w:w="850"/>
        <w:gridCol w:w="1276"/>
      </w:tblGrid>
      <w:tr>
        <w:trPr>
          <w:cantSplit/>
          <w:trHeight w:val="467"/>
        </w:trPr>
        <w:tc>
          <w:tcPr>
            <w:tcW w:w="993" w:type="dxa"/>
            <w:vMerge w:val="restart"/>
            <w:tcBorders>
              <w:left w:val="single" w:sz="4" w:space="0" w:color="auto"/>
              <w:right w:val="single" w:sz="4" w:space="0" w:color="auto"/>
            </w:tcBorders>
            <w:vAlign w:val="center"/>
          </w:tcPr>
          <w:p>
            <w:pPr>
              <w:ind w:left="218" w:hangingChars="104" w:hanging="218"/>
              <w:jc w:val="center"/>
            </w:pPr>
            <w:r>
              <w:t>岗位</w:t>
            </w:r>
          </w:p>
        </w:tc>
        <w:tc>
          <w:tcPr>
            <w:tcW w:w="829" w:type="dxa"/>
            <w:vMerge w:val="restart"/>
            <w:tcBorders>
              <w:left w:val="single" w:sz="4" w:space="0" w:color="auto"/>
              <w:right w:val="single" w:sz="4" w:space="0" w:color="auto"/>
            </w:tcBorders>
            <w:vAlign w:val="center"/>
          </w:tcPr>
          <w:p>
            <w:pPr>
              <w:ind w:left="218" w:hangingChars="104" w:hanging="218"/>
              <w:jc w:val="center"/>
            </w:pPr>
            <w:bookmarkStart w:id="129" w:name="_Toc251052187"/>
            <w:r>
              <w:t>姓名</w:t>
            </w:r>
            <w:bookmarkEnd w:id="129"/>
          </w:p>
        </w:tc>
        <w:tc>
          <w:tcPr>
            <w:tcW w:w="816" w:type="dxa"/>
            <w:vMerge w:val="restart"/>
            <w:tcBorders>
              <w:left w:val="single" w:sz="4" w:space="0" w:color="auto"/>
              <w:right w:val="single" w:sz="4" w:space="0" w:color="auto"/>
            </w:tcBorders>
            <w:vAlign w:val="center"/>
          </w:tcPr>
          <w:p>
            <w:pPr>
              <w:ind w:left="218" w:hangingChars="104" w:hanging="218"/>
              <w:jc w:val="center"/>
            </w:pPr>
            <w:bookmarkStart w:id="130" w:name="_Toc251052188"/>
            <w:r>
              <w:t>职称</w:t>
            </w:r>
            <w:bookmarkEnd w:id="130"/>
          </w:p>
        </w:tc>
        <w:tc>
          <w:tcPr>
            <w:tcW w:w="4592" w:type="dxa"/>
            <w:gridSpan w:val="4"/>
            <w:tcBorders>
              <w:left w:val="single" w:sz="4" w:space="0" w:color="auto"/>
              <w:right w:val="single" w:sz="4" w:space="0" w:color="auto"/>
            </w:tcBorders>
            <w:vAlign w:val="center"/>
          </w:tcPr>
          <w:p>
            <w:pPr>
              <w:ind w:left="218" w:hangingChars="104" w:hanging="218"/>
              <w:jc w:val="center"/>
            </w:pPr>
            <w:bookmarkStart w:id="131" w:name="_Toc251052189"/>
            <w:r>
              <w:t>执业或职业资格证明</w:t>
            </w:r>
            <w:bookmarkEnd w:id="131"/>
          </w:p>
        </w:tc>
        <w:tc>
          <w:tcPr>
            <w:tcW w:w="2126" w:type="dxa"/>
            <w:gridSpan w:val="2"/>
            <w:tcBorders>
              <w:left w:val="single" w:sz="4" w:space="0" w:color="auto"/>
              <w:right w:val="single" w:sz="4" w:space="0" w:color="auto"/>
            </w:tcBorders>
            <w:vAlign w:val="center"/>
          </w:tcPr>
          <w:p>
            <w:pPr>
              <w:ind w:left="218" w:hangingChars="104" w:hanging="218"/>
              <w:jc w:val="center"/>
            </w:pPr>
            <w:bookmarkStart w:id="132" w:name="_Toc251052190"/>
            <w:r>
              <w:t>承担完工</w:t>
            </w:r>
            <w:bookmarkStart w:id="133" w:name="_Toc251052191"/>
            <w:bookmarkEnd w:id="132"/>
            <w:r>
              <w:t>工程情况</w:t>
            </w:r>
            <w:bookmarkEnd w:id="133"/>
          </w:p>
        </w:tc>
      </w:tr>
      <w:tr>
        <w:trPr>
          <w:cantSplit/>
          <w:trHeight w:val="444"/>
        </w:trPr>
        <w:tc>
          <w:tcPr>
            <w:tcW w:w="993" w:type="dxa"/>
            <w:vMerge/>
            <w:tcBorders>
              <w:top w:val="single" w:sz="4" w:space="0" w:color="auto"/>
              <w:left w:val="single" w:sz="4" w:space="0" w:color="auto"/>
              <w:right w:val="single" w:sz="4" w:space="0" w:color="auto"/>
            </w:tcBorders>
            <w:vAlign w:val="center"/>
          </w:tcPr>
          <w:p/>
        </w:tc>
        <w:tc>
          <w:tcPr>
            <w:tcW w:w="829" w:type="dxa"/>
            <w:vMerge/>
            <w:tcBorders>
              <w:top w:val="single" w:sz="4" w:space="0" w:color="auto"/>
              <w:left w:val="single" w:sz="4" w:space="0" w:color="auto"/>
              <w:right w:val="single" w:sz="4" w:space="0" w:color="auto"/>
            </w:tcBorders>
            <w:vAlign w:val="center"/>
          </w:tcPr>
          <w:p/>
        </w:tc>
        <w:tc>
          <w:tcPr>
            <w:tcW w:w="816" w:type="dxa"/>
            <w:vMerge/>
            <w:tcBorders>
              <w:top w:val="single" w:sz="4" w:space="0" w:color="auto"/>
              <w:left w:val="single" w:sz="4" w:space="0" w:color="auto"/>
              <w:right w:val="single" w:sz="4" w:space="0" w:color="auto"/>
            </w:tcBorders>
            <w:vAlign w:val="center"/>
          </w:tc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bookmarkStart w:id="134" w:name="_Toc251052192"/>
            <w:r>
              <w:t>证书名称</w:t>
            </w:r>
            <w:bookmarkEnd w:id="134"/>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bookmarkStart w:id="135" w:name="_Toc251052193"/>
            <w:r>
              <w:t>级别</w:t>
            </w:r>
            <w:bookmarkEnd w:id="135"/>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bookmarkStart w:id="136" w:name="_Toc251052194"/>
            <w:r>
              <w:t>证号</w:t>
            </w:r>
            <w:bookmarkEnd w:id="136"/>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bookmarkStart w:id="137" w:name="_Toc251052195"/>
            <w:r>
              <w:t>专业</w:t>
            </w:r>
            <w:bookmarkEnd w:id="137"/>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bookmarkStart w:id="138" w:name="_Toc251052197"/>
            <w:r>
              <w:t>项目数</w:t>
            </w:r>
            <w:bookmarkEnd w:id="138"/>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bookmarkStart w:id="139" w:name="_Toc251052198"/>
            <w:r>
              <w:t>主要项目</w:t>
            </w:r>
          </w:p>
          <w:p>
            <w:pPr>
              <w:ind w:left="218" w:hangingChars="104" w:hanging="218"/>
              <w:jc w:val="center"/>
            </w:pPr>
            <w:r>
              <w:t>名称</w:t>
            </w:r>
            <w:bookmarkEnd w:id="139"/>
          </w:p>
        </w:tc>
      </w:tr>
      <w:tr>
        <w:trPr>
          <w:trHeight w:val="660"/>
        </w:trPr>
        <w:tc>
          <w:tcPr>
            <w:tcW w:w="993" w:type="dxa"/>
            <w:tcBorders>
              <w:top w:val="single" w:sz="4" w:space="0" w:color="auto"/>
              <w:left w:val="single" w:sz="4" w:space="0" w:color="auto"/>
              <w:right w:val="single" w:sz="4" w:space="0" w:color="auto"/>
            </w:tcBorders>
            <w:vAlign w:val="center"/>
          </w:tcPr>
          <w:p>
            <w:pPr>
              <w:ind w:left="218" w:hangingChars="104" w:hanging="218"/>
              <w:jc w:val="center"/>
              <w:rPr>
                <w:szCs w:val="21"/>
              </w:rPr>
            </w:pPr>
            <w:r>
              <w:rPr>
                <w:szCs w:val="21"/>
              </w:rPr>
              <w:t>施工员</w:t>
            </w:r>
          </w:p>
        </w:tc>
        <w:tc>
          <w:tcPr>
            <w:tcW w:w="829" w:type="dxa"/>
            <w:tcBorders>
              <w:top w:val="single" w:sz="4" w:space="0" w:color="auto"/>
              <w:left w:val="single" w:sz="4" w:space="0" w:color="auto"/>
              <w:right w:val="single" w:sz="4" w:space="0" w:color="auto"/>
            </w:tcBorders>
            <w:vAlign w:val="center"/>
          </w:tcPr>
          <w:p>
            <w:pPr>
              <w:ind w:left="218" w:hangingChars="104" w:hanging="218"/>
              <w:jc w:val="cente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18" w:hangingChars="104" w:hanging="218"/>
              <w:jc w:val="center"/>
              <w:rPr>
                <w:szCs w:val="21"/>
              </w:rPr>
            </w:pPr>
            <w:r>
              <w:rPr>
                <w:szCs w:val="21"/>
              </w:rPr>
              <w:t>质量员</w:t>
            </w:r>
          </w:p>
        </w:tc>
        <w:tc>
          <w:tcPr>
            <w:tcW w:w="829" w:type="dxa"/>
            <w:tcBorders>
              <w:top w:val="single" w:sz="4" w:space="0" w:color="auto"/>
              <w:left w:val="single" w:sz="4" w:space="0" w:color="auto"/>
              <w:right w:val="single" w:sz="4" w:space="0" w:color="auto"/>
            </w:tcBorders>
            <w:vAlign w:val="center"/>
          </w:tcPr>
          <w:p>
            <w:pPr>
              <w:ind w:left="218" w:hangingChars="104" w:hanging="218"/>
              <w:jc w:val="cente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trHeight w:val="660"/>
        </w:trPr>
        <w:tc>
          <w:tcPr>
            <w:tcW w:w="993" w:type="dxa"/>
            <w:vMerge w:val="restart"/>
            <w:tcBorders>
              <w:top w:val="single" w:sz="4" w:space="0" w:color="auto"/>
              <w:left w:val="single" w:sz="4" w:space="0" w:color="auto"/>
              <w:right w:val="single" w:sz="4" w:space="0" w:color="auto"/>
            </w:tcBorders>
            <w:vAlign w:val="center"/>
          </w:tcPr>
          <w:p>
            <w:pPr>
              <w:ind w:left="218" w:hangingChars="104" w:hanging="218"/>
              <w:jc w:val="center"/>
              <w:rPr>
                <w:szCs w:val="21"/>
              </w:rPr>
            </w:pPr>
            <w:r>
              <w:rPr>
                <w:szCs w:val="21"/>
              </w:rPr>
              <w:t>安全员</w:t>
            </w:r>
          </w:p>
        </w:tc>
        <w:tc>
          <w:tcPr>
            <w:tcW w:w="829" w:type="dxa"/>
            <w:tcBorders>
              <w:top w:val="single" w:sz="4" w:space="0" w:color="auto"/>
              <w:left w:val="single" w:sz="4" w:space="0" w:color="auto"/>
              <w:right w:val="single" w:sz="4" w:space="0" w:color="auto"/>
            </w:tcBorders>
            <w:vAlign w:val="center"/>
          </w:tcPr>
          <w:p>
            <w:pPr>
              <w:ind w:left="218" w:hangingChars="104" w:hanging="218"/>
              <w:jc w:val="cente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trHeight w:val="660"/>
        </w:trPr>
        <w:tc>
          <w:tcPr>
            <w:tcW w:w="993" w:type="dxa"/>
            <w:vMerge/>
            <w:tcBorders>
              <w:top w:val="single" w:sz="4" w:space="0" w:color="auto"/>
              <w:left w:val="single" w:sz="4" w:space="0" w:color="auto"/>
              <w:right w:val="single" w:sz="4" w:space="0" w:color="auto"/>
            </w:tcBorders>
            <w:vAlign w:val="center"/>
          </w:tcPr>
          <w:p/>
        </w:tc>
        <w:tc>
          <w:tcPr>
            <w:tcW w:w="829" w:type="dxa"/>
            <w:tcBorders>
              <w:top w:val="single" w:sz="4" w:space="0" w:color="auto"/>
              <w:left w:val="single" w:sz="4" w:space="0" w:color="auto"/>
              <w:right w:val="single" w:sz="4" w:space="0" w:color="auto"/>
            </w:tcBorders>
            <w:vAlign w:val="center"/>
          </w:tcPr>
          <w:p>
            <w:pPr>
              <w:ind w:left="218" w:hangingChars="104" w:hanging="218"/>
              <w:jc w:val="center"/>
              <w:rPr>
                <w:szCs w:val="21"/>
              </w:rP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trHeight w:val="660"/>
        </w:trPr>
        <w:tc>
          <w:tcPr>
            <w:tcW w:w="993" w:type="dxa"/>
            <w:vMerge/>
            <w:tcBorders>
              <w:top w:val="single" w:sz="4" w:space="0" w:color="auto"/>
              <w:left w:val="single" w:sz="4" w:space="0" w:color="auto"/>
              <w:right w:val="single" w:sz="4" w:space="0" w:color="auto"/>
            </w:tcBorders>
            <w:vAlign w:val="center"/>
          </w:tcPr>
          <w:p/>
        </w:tc>
        <w:tc>
          <w:tcPr>
            <w:tcW w:w="829" w:type="dxa"/>
            <w:tcBorders>
              <w:top w:val="single" w:sz="4" w:space="0" w:color="auto"/>
              <w:left w:val="single" w:sz="4" w:space="0" w:color="auto"/>
              <w:right w:val="single" w:sz="4" w:space="0" w:color="auto"/>
            </w:tcBorders>
            <w:vAlign w:val="center"/>
          </w:tcPr>
          <w:p>
            <w:pPr>
              <w:ind w:left="218" w:hangingChars="104" w:hanging="218"/>
              <w:jc w:val="center"/>
              <w:rPr>
                <w:szCs w:val="21"/>
              </w:rP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18" w:hangingChars="104" w:hanging="218"/>
              <w:jc w:val="center"/>
              <w:rPr>
                <w:szCs w:val="21"/>
              </w:rPr>
            </w:pPr>
            <w:r>
              <w:rPr>
                <w:szCs w:val="21"/>
              </w:rPr>
              <w:t>材料员</w:t>
            </w:r>
          </w:p>
        </w:tc>
        <w:tc>
          <w:tcPr>
            <w:tcW w:w="829" w:type="dxa"/>
            <w:tcBorders>
              <w:top w:val="single" w:sz="4" w:space="0" w:color="auto"/>
              <w:left w:val="single" w:sz="4" w:space="0" w:color="auto"/>
              <w:right w:val="single" w:sz="4" w:space="0" w:color="auto"/>
            </w:tcBorders>
            <w:vAlign w:val="center"/>
          </w:tcPr>
          <w:p>
            <w:pPr>
              <w:ind w:left="218" w:hangingChars="104" w:hanging="218"/>
              <w:jc w:val="cente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18" w:hangingChars="104" w:hanging="218"/>
              <w:jc w:val="center"/>
              <w:rPr>
                <w:szCs w:val="21"/>
              </w:rPr>
            </w:pPr>
          </w:p>
        </w:tc>
        <w:tc>
          <w:tcPr>
            <w:tcW w:w="829" w:type="dxa"/>
            <w:tcBorders>
              <w:top w:val="single" w:sz="4" w:space="0" w:color="auto"/>
              <w:left w:val="single" w:sz="4" w:space="0" w:color="auto"/>
              <w:right w:val="single" w:sz="4" w:space="0" w:color="auto"/>
            </w:tcBorders>
            <w:vAlign w:val="center"/>
          </w:tcPr>
          <w:p>
            <w:pPr>
              <w:ind w:left="218" w:hangingChars="104" w:hanging="218"/>
              <w:jc w:val="cente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trHeight w:val="660"/>
        </w:trPr>
        <w:tc>
          <w:tcPr>
            <w:tcW w:w="993" w:type="dxa"/>
            <w:tcBorders>
              <w:top w:val="single" w:sz="4" w:space="0" w:color="auto"/>
              <w:left w:val="single" w:sz="4" w:space="0" w:color="auto"/>
              <w:right w:val="single" w:sz="4" w:space="0" w:color="auto"/>
            </w:tcBorders>
            <w:vAlign w:val="center"/>
          </w:tcPr>
          <w:p>
            <w:pPr>
              <w:ind w:left="218" w:hangingChars="104" w:hanging="218"/>
              <w:jc w:val="center"/>
            </w:pPr>
            <w:r>
              <w:t>……</w:t>
            </w:r>
          </w:p>
        </w:tc>
        <w:tc>
          <w:tcPr>
            <w:tcW w:w="829" w:type="dxa"/>
            <w:tcBorders>
              <w:top w:val="single" w:sz="4" w:space="0" w:color="auto"/>
              <w:left w:val="single" w:sz="4" w:space="0" w:color="auto"/>
              <w:right w:val="single" w:sz="4" w:space="0" w:color="auto"/>
            </w:tcBorders>
            <w:vAlign w:val="center"/>
          </w:tcPr>
          <w:p>
            <w:pPr>
              <w:ind w:left="218" w:hangingChars="104" w:hanging="218"/>
              <w:jc w:val="center"/>
            </w:pPr>
          </w:p>
        </w:tc>
        <w:tc>
          <w:tcPr>
            <w:tcW w:w="816"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1148" w:type="dxa"/>
            <w:tcBorders>
              <w:top w:val="single" w:sz="4" w:space="0" w:color="auto"/>
              <w:left w:val="single" w:sz="4" w:space="0" w:color="auto"/>
              <w:right w:val="single" w:sz="4" w:space="0" w:color="auto"/>
            </w:tcBorders>
            <w:vAlign w:val="center"/>
          </w:tcPr>
          <w:p>
            <w:pPr>
              <w:ind w:left="218" w:hangingChars="104" w:hanging="218"/>
              <w:jc w:val="center"/>
            </w:pPr>
          </w:p>
        </w:tc>
        <w:tc>
          <w:tcPr>
            <w:tcW w:w="850" w:type="dxa"/>
            <w:tcBorders>
              <w:top w:val="single" w:sz="4" w:space="0" w:color="auto"/>
              <w:left w:val="single" w:sz="4" w:space="0" w:color="auto"/>
              <w:right w:val="single" w:sz="4" w:space="0" w:color="auto"/>
            </w:tcBorders>
            <w:vAlign w:val="center"/>
          </w:tcPr>
          <w:p>
            <w:pPr>
              <w:ind w:left="218" w:hangingChars="104" w:hanging="218"/>
              <w:jc w:val="center"/>
            </w:pPr>
          </w:p>
        </w:tc>
        <w:tc>
          <w:tcPr>
            <w:tcW w:w="1276" w:type="dxa"/>
            <w:tcBorders>
              <w:top w:val="single" w:sz="4" w:space="0" w:color="auto"/>
              <w:left w:val="single" w:sz="4" w:space="0" w:color="auto"/>
              <w:right w:val="single" w:sz="4" w:space="0" w:color="auto"/>
            </w:tcBorders>
            <w:vAlign w:val="center"/>
          </w:tcPr>
          <w:p>
            <w:pPr>
              <w:ind w:left="218" w:hangingChars="104" w:hanging="218"/>
              <w:jc w:val="center"/>
            </w:pPr>
          </w:p>
        </w:tc>
      </w:tr>
      <w:tr>
        <w:trPr>
          <w:cantSplit/>
          <w:trHeight w:val="979"/>
        </w:trPr>
        <w:tc>
          <w:tcPr>
            <w:tcW w:w="9356" w:type="dxa"/>
            <w:gridSpan w:val="9"/>
            <w:tcBorders>
              <w:top w:val="single" w:sz="4" w:space="0" w:color="auto"/>
              <w:left w:val="single" w:sz="4" w:space="0" w:color="auto"/>
              <w:right w:val="single" w:sz="4" w:space="0" w:color="auto"/>
            </w:tcBorders>
            <w:vAlign w:val="center"/>
          </w:tcPr>
          <w:p>
            <w:pPr>
              <w:spacing w:line="360" w:lineRule="auto"/>
              <w:rPr>
                <w:szCs w:val="21"/>
              </w:rPr>
            </w:pPr>
            <w:bookmarkStart w:id="140" w:name="_Toc251052199"/>
            <w:r>
              <w:rPr>
                <w:szCs w:val="21"/>
              </w:rPr>
              <w:t>一旦我单位成交，将实行项目经理负责制，我方保证并配备上述项目管理机构。上述填报内容真实，若不真实，愿按有关规定接受处理。项目管理班子机构设置、职责分工等情况另附资料说明</w:t>
            </w:r>
            <w:bookmarkEnd w:id="140"/>
          </w:p>
        </w:tc>
      </w:tr>
    </w:tbl>
    <w:p>
      <w:pPr>
        <w:pStyle w:val="31"/>
        <w:tabs>
          <w:tab w:val="left" w:pos="2127"/>
        </w:tabs>
        <w:spacing w:line="340" w:lineRule="exact"/>
        <w:rPr>
          <w:rFonts w:ascii="Times New Roman" w:cs="Times New Roman" w:hAnsi="Times New Roman"/>
        </w:rPr>
      </w:pPr>
      <w:r>
        <w:rPr>
          <w:rFonts w:ascii="Times New Roman" w:cs="Times New Roman" w:hAnsi="Times New Roman"/>
        </w:rPr>
        <w:t>【备注：附</w:t>
      </w:r>
      <w:r>
        <w:rPr>
          <w:rFonts w:ascii="Times New Roman" w:cs="Times New Roman" w:hAnsi="Times New Roman" w:hint="eastAsia"/>
        </w:rPr>
        <w:t>安全</w:t>
      </w:r>
      <w:r>
        <w:rPr>
          <w:rFonts w:ascii="Times New Roman" w:cs="Times New Roman" w:hAnsi="Times New Roman"/>
        </w:rPr>
        <w:t>员证件、响应文件递交截止时间前6个月内</w:t>
      </w:r>
      <w:r>
        <w:t>任意</w:t>
      </w:r>
      <w:r>
        <w:rPr>
          <w:rFonts w:ascii="Times New Roman" w:cs="Times New Roman" w:hAnsi="Times New Roman" w:hint="eastAsia"/>
        </w:rPr>
        <w:t>1个月</w:t>
      </w:r>
      <w:r>
        <w:rPr>
          <w:rFonts w:ascii="Times New Roman" w:cs="Times New Roman" w:hAnsi="Times New Roman"/>
        </w:rPr>
        <w:t>在现任职单位依法缴纳社会保险的凭证等相关证明材料的</w:t>
      </w:r>
      <w:r>
        <w:rPr>
          <w:rFonts w:hint="eastAsia"/>
          <w:lang w:eastAsia="zh-CN"/>
        </w:rPr>
        <w:t>复印件</w:t>
      </w:r>
      <w:r>
        <w:rPr>
          <w:rFonts w:ascii="Times New Roman" w:cs="Times New Roman" w:hAnsi="Times New Roman"/>
        </w:rPr>
        <w:t>，以及供应商认为需要增加的其他证明材料</w:t>
      </w:r>
      <w:r>
        <w:rPr>
          <w:rFonts w:hint="eastAsia"/>
          <w:lang w:eastAsia="zh-CN"/>
        </w:rPr>
        <w:t>复印件</w:t>
      </w:r>
      <w:r>
        <w:rPr>
          <w:rFonts w:ascii="Times New Roman" w:cs="Times New Roman" w:hAnsi="Times New Roman"/>
        </w:rPr>
        <w:t>，以上</w:t>
      </w:r>
      <w:r>
        <w:rPr>
          <w:rFonts w:hint="eastAsia"/>
          <w:lang w:eastAsia="zh-CN"/>
        </w:rPr>
        <w:t>复印件</w:t>
      </w:r>
      <w:r>
        <w:rPr>
          <w:rFonts w:ascii="Times New Roman" w:cs="Times New Roman" w:hAnsi="Times New Roman"/>
        </w:rPr>
        <w:t>须加盖</w:t>
      </w:r>
      <w:r>
        <w:t>供应商</w:t>
      </w:r>
      <w:r>
        <w:rPr>
          <w:rFonts w:hint="eastAsia"/>
        </w:rPr>
        <w:t>公章</w:t>
      </w:r>
      <w:r>
        <w:rPr>
          <w:rFonts w:ascii="Times New Roman" w:cs="Times New Roman" w:hAnsi="Times New Roman"/>
        </w:rPr>
        <w:t>。】</w:t>
      </w:r>
    </w:p>
    <w:p>
      <w:pPr>
        <w:pStyle w:val="166"/>
        <w:rPr>
          <w:rFonts w:ascii="Times New Roman" w:hAnsi="Times New Roman"/>
        </w:rPr>
      </w:pPr>
    </w:p>
    <w:p>
      <w:pPr>
        <w:snapToGrid w:val="0"/>
        <w:spacing w:before="50" w:afterLines="50" w:after="120" w:line="440" w:lineRule="exact"/>
        <w:jc w:val="left"/>
      </w:pPr>
      <w:r>
        <w:br w:type="page"/>
      </w:r>
      <w:r>
        <w:rPr>
          <w:rFonts w:hint="eastAsia"/>
        </w:rPr>
        <w:t>7</w:t>
      </w:r>
      <w:r>
        <w:t>.</w:t>
      </w:r>
      <w:r>
        <w:rPr>
          <w:rFonts w:hint="eastAsia"/>
        </w:rPr>
        <w:t>5</w:t>
      </w:r>
      <w:r>
        <w:t>满足本项目特定资格条件其他要求的证明材料。</w:t>
      </w:r>
    </w:p>
    <w:p>
      <w:pPr>
        <w:snapToGrid w:val="0"/>
        <w:spacing w:before="50" w:afterLines="50" w:after="120" w:line="360" w:lineRule="auto"/>
        <w:jc w:val="left"/>
        <w:rPr>
          <w:szCs w:val="21"/>
        </w:rPr>
      </w:pPr>
      <w:r>
        <w:rPr>
          <w:rFonts w:hint="eastAsia"/>
          <w:szCs w:val="21"/>
        </w:rPr>
        <w:t>7</w:t>
      </w:r>
      <w:r>
        <w:rPr>
          <w:szCs w:val="21"/>
        </w:rPr>
        <w:t>.5.1</w:t>
      </w:r>
      <w:r>
        <w:rPr>
          <w:rFonts w:hint="eastAsia"/>
          <w:szCs w:val="21"/>
        </w:rPr>
        <w:t>供应商直接控股股东信息表</w:t>
      </w:r>
    </w:p>
    <w:tbl>
      <w:tblPr>
        <w:jc w:val="left"/>
        <w:tblInd w:w="125"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828"/>
        <w:gridCol w:w="2269"/>
        <w:gridCol w:w="1239"/>
        <w:gridCol w:w="3722"/>
        <w:gridCol w:w="1418"/>
      </w:tblGrid>
      <w:tr>
        <w:trPr>
          <w:tblHeader/>
        </w:trP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序号</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直接控股股东名称</w:t>
            </w: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出资比例</w:t>
            </w: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身份证号码或者统一社会信用代码</w:t>
            </w: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备注</w:t>
            </w: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1</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2</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3</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r>
        <w:tc>
          <w:tcPr>
            <w:tcW w:w="82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r>
              <w:rPr>
                <w:rFonts w:hint="eastAsia"/>
                <w:szCs w:val="21"/>
              </w:rPr>
              <w:t>……</w:t>
            </w:r>
          </w:p>
        </w:tc>
        <w:tc>
          <w:tcPr>
            <w:tcW w:w="226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239"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3722"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c>
          <w:tcPr>
            <w:tcW w:w="1418" w:type="dxa"/>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tcPr>
          <w:p>
            <w:pPr>
              <w:spacing w:line="360" w:lineRule="auto"/>
              <w:jc w:val="center"/>
              <w:rPr>
                <w:szCs w:val="21"/>
              </w:rPr>
            </w:pPr>
          </w:p>
        </w:tc>
      </w:tr>
    </w:tbl>
    <w:p>
      <w:pPr>
        <w:snapToGrid w:val="0"/>
        <w:spacing w:line="360" w:lineRule="auto"/>
        <w:jc w:val="left"/>
        <w:rPr>
          <w:szCs w:val="21"/>
        </w:rPr>
      </w:pPr>
      <w:r>
        <w:rPr>
          <w:rFonts w:hint="eastAsia"/>
          <w:szCs w:val="21"/>
        </w:rPr>
        <w:t>注：</w:t>
      </w:r>
    </w:p>
    <w:p>
      <w:pPr>
        <w:snapToGrid w:val="0"/>
        <w:spacing w:line="360" w:lineRule="auto"/>
        <w:jc w:val="left"/>
        <w:rPr>
          <w:szCs w:val="21"/>
        </w:rPr>
      </w:pPr>
      <w:r>
        <w:rPr>
          <w:rFonts w:hint="eastAsia"/>
          <w:szCs w:val="21"/>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pPr>
        <w:snapToGrid w:val="0"/>
        <w:spacing w:line="360" w:lineRule="auto"/>
        <w:jc w:val="left"/>
        <w:rPr>
          <w:szCs w:val="21"/>
        </w:rPr>
      </w:pPr>
      <w:r>
        <w:rPr>
          <w:rFonts w:hint="eastAsia"/>
          <w:szCs w:val="21"/>
        </w:rPr>
        <w:t>2.本表所指的控股关系仅限于直接控股关系，不包括间接的控股关系。公司实际控制人与公司之间的关系不属于本表所指的直接控股关系。</w:t>
      </w:r>
    </w:p>
    <w:p>
      <w:pPr>
        <w:snapToGrid w:val="0"/>
        <w:spacing w:line="360" w:lineRule="auto"/>
        <w:jc w:val="left"/>
        <w:rPr>
          <w:szCs w:val="21"/>
        </w:rPr>
      </w:pPr>
      <w:r>
        <w:rPr>
          <w:rFonts w:hint="eastAsia"/>
          <w:szCs w:val="21"/>
        </w:rPr>
        <w:t>3.供应商不存在直接控股股东的，则填“无”。</w:t>
      </w:r>
    </w:p>
    <w:p>
      <w:pPr>
        <w:snapToGrid w:val="0"/>
        <w:spacing w:line="360" w:lineRule="auto"/>
        <w:jc w:val="left"/>
        <w:rPr>
          <w:szCs w:val="21"/>
        </w:rPr>
      </w:pPr>
    </w:p>
    <w:p>
      <w:pPr>
        <w:snapToGrid w:val="0"/>
        <w:spacing w:line="360" w:lineRule="auto"/>
        <w:jc w:val="left"/>
        <w:rPr>
          <w:szCs w:val="21"/>
        </w:rPr>
      </w:pPr>
    </w:p>
    <w:p>
      <w:pPr>
        <w:snapToGrid w:val="0"/>
        <w:spacing w:line="360" w:lineRule="auto"/>
        <w:jc w:val="left"/>
        <w:rPr>
          <w:szCs w:val="21"/>
        </w:rPr>
      </w:pPr>
    </w:p>
    <w:p>
      <w:pPr>
        <w:snapToGrid w:val="0"/>
        <w:spacing w:line="360" w:lineRule="auto"/>
        <w:ind w:firstLineChars="2100" w:firstLine="4410"/>
        <w:rPr>
          <w:szCs w:val="21"/>
        </w:rPr>
      </w:pPr>
      <w:r>
        <w:rPr>
          <w:rFonts w:hint="eastAsia"/>
          <w:szCs w:val="21"/>
        </w:rPr>
        <w:t>供应商名称(公章)：</w:t>
      </w:r>
    </w:p>
    <w:p>
      <w:pPr>
        <w:snapToGrid w:val="0"/>
        <w:spacing w:line="360" w:lineRule="auto"/>
        <w:ind w:firstLineChars="2150" w:firstLine="4515"/>
        <w:rPr>
          <w:szCs w:val="21"/>
        </w:rPr>
      </w:pPr>
      <w:r>
        <w:rPr>
          <w:rFonts w:hint="eastAsia"/>
          <w:szCs w:val="21"/>
        </w:rPr>
        <w:t>日期：  年  月   日</w:t>
      </w:r>
    </w:p>
    <w:p>
      <w:pPr>
        <w:snapToGrid w:val="0"/>
        <w:jc w:val="center"/>
        <w:rPr>
          <w:rFonts w:ascii="宋体" w:hint="eastAsia"/>
          <w:b/>
          <w:sz w:val="28"/>
          <w:szCs w:val="28"/>
        </w:rPr>
      </w:pPr>
      <w:r>
        <w:rPr>
          <w:rFonts w:ascii="宋体"/>
          <w:b/>
          <w:sz w:val="28"/>
          <w:szCs w:val="28"/>
        </w:rPr>
        <w:br w:type="page"/>
      </w:r>
    </w:p>
    <w:p>
      <w:pPr>
        <w:snapToGrid w:val="0"/>
        <w:spacing w:line="360" w:lineRule="auto"/>
        <w:jc w:val="left"/>
        <w:rPr>
          <w:szCs w:val="21"/>
        </w:rPr>
      </w:pPr>
      <w:r>
        <w:rPr>
          <w:rFonts w:hint="eastAsia"/>
          <w:szCs w:val="21"/>
        </w:rPr>
        <w:t>7</w:t>
      </w:r>
      <w:r>
        <w:rPr>
          <w:szCs w:val="21"/>
        </w:rPr>
        <w:t>.5.2</w:t>
      </w:r>
      <w:r>
        <w:rPr>
          <w:rFonts w:hint="eastAsia"/>
          <w:szCs w:val="21"/>
        </w:rPr>
        <w:t>供应商直接管理关系信息表</w:t>
      </w:r>
    </w:p>
    <w:tbl>
      <w:tblPr>
        <w:jc w:val="left"/>
        <w:tblInd w:w="125" w:type="dxa"/>
        <w:tblBorders>
          <w:top w:val="none" w:sz="0" w:space="0" w:color="auto"/>
          <w:left w:val="none" w:sz="0" w:space="0" w:color="auto"/>
          <w:bottom w:val="none" w:sz="0" w:space="0" w:color="auto"/>
          <w:right w:val="none" w:sz="0" w:space="0" w:color="auto"/>
        </w:tblBorders>
        <w:shd w:val="clear" w:color="auto" w:fill="FBFBFB"/>
        <w:tblLayout w:type="fixed"/>
        <w:tblCellMar>
          <w:top w:w="0" w:type="dxa"/>
          <w:left w:w="0" w:type="dxa"/>
          <w:bottom w:w="0" w:type="dxa"/>
          <w:right w:w="0" w:type="dxa"/>
        </w:tblCellMar>
      </w:tblPr>
      <w:tblGrid>
        <w:gridCol w:w="1005"/>
        <w:gridCol w:w="2659"/>
        <w:gridCol w:w="3924"/>
        <w:gridCol w:w="2064"/>
      </w:tblGrid>
      <w:tr>
        <w:trPr>
          <w:tblHeader/>
        </w:trP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序号</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直接管理关系单位名称</w:t>
            </w: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统一社会信用代码</w:t>
            </w: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备注</w:t>
            </w: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1</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2</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3</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r>
        <w:tc>
          <w:tcPr>
            <w:tcW w:w="1005"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r>
              <w:rPr>
                <w:rFonts w:hint="eastAsia"/>
                <w:szCs w:val="21"/>
              </w:rPr>
              <w:t>……</w:t>
            </w:r>
          </w:p>
        </w:tc>
        <w:tc>
          <w:tcPr>
            <w:tcW w:w="2659"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392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c>
          <w:tcPr>
            <w:tcW w:w="2064" w:type="dxa"/>
            <w:tcBorders>
              <w:top w:val="single" w:sz="4" w:space="0" w:color="auto"/>
              <w:left w:val="single" w:sz="4" w:space="0" w:color="auto"/>
              <w:bottom w:val="single" w:sz="4" w:space="0" w:color="auto"/>
              <w:right w:val="single" w:sz="4" w:space="0" w:color="auto"/>
            </w:tcBorders>
            <w:shd w:val="clear" w:color="auto" w:fill="FBFBFB"/>
            <w:tcMar>
              <w:top w:w="120" w:type="dxa"/>
              <w:left w:w="120" w:type="dxa"/>
              <w:bottom w:w="120" w:type="dxa"/>
              <w:right w:w="120" w:type="dxa"/>
            </w:tcMar>
            <w:vAlign w:val="center"/>
          </w:tcPr>
          <w:p>
            <w:pPr>
              <w:spacing w:line="360" w:lineRule="auto"/>
              <w:jc w:val="center"/>
              <w:rPr>
                <w:szCs w:val="21"/>
              </w:rPr>
            </w:pPr>
          </w:p>
        </w:tc>
      </w:tr>
    </w:tbl>
    <w:p>
      <w:pPr>
        <w:snapToGrid w:val="0"/>
        <w:spacing w:line="360" w:lineRule="auto"/>
        <w:jc w:val="left"/>
        <w:rPr>
          <w:szCs w:val="21"/>
        </w:rPr>
      </w:pPr>
      <w:r>
        <w:rPr>
          <w:rFonts w:hint="eastAsia"/>
          <w:szCs w:val="21"/>
        </w:rPr>
        <w:t>注：</w:t>
      </w:r>
    </w:p>
    <w:p>
      <w:pPr>
        <w:snapToGrid w:val="0"/>
        <w:spacing w:line="360" w:lineRule="auto"/>
        <w:ind w:firstLineChars="200" w:firstLine="420"/>
        <w:jc w:val="left"/>
        <w:rPr>
          <w:szCs w:val="21"/>
        </w:rPr>
      </w:pPr>
      <w:r>
        <w:rPr>
          <w:rFonts w:hint="eastAsia"/>
          <w:szCs w:val="21"/>
        </w:rPr>
        <w:t>1.管理关系：是指不具有出资持股关系的其他单位之间存在的管理与被管理关系，如一些上下级关系的事业单位和团体组织。</w:t>
      </w:r>
    </w:p>
    <w:p>
      <w:pPr>
        <w:snapToGrid w:val="0"/>
        <w:spacing w:line="360" w:lineRule="auto"/>
        <w:ind w:firstLineChars="200" w:firstLine="420"/>
        <w:jc w:val="left"/>
        <w:rPr>
          <w:szCs w:val="21"/>
        </w:rPr>
      </w:pPr>
      <w:r>
        <w:rPr>
          <w:rFonts w:hint="eastAsia"/>
          <w:szCs w:val="21"/>
        </w:rPr>
        <w:t>2.本表所指的管理关系仅限于直接管理关系，不包括间接的管理关系。</w:t>
      </w:r>
    </w:p>
    <w:p>
      <w:pPr>
        <w:snapToGrid w:val="0"/>
        <w:spacing w:line="360" w:lineRule="auto"/>
        <w:ind w:firstLineChars="200" w:firstLine="420"/>
        <w:jc w:val="left"/>
        <w:rPr>
          <w:szCs w:val="21"/>
        </w:rPr>
      </w:pPr>
      <w:r>
        <w:rPr>
          <w:rFonts w:hint="eastAsia"/>
          <w:szCs w:val="21"/>
        </w:rPr>
        <w:t>3.供应商不存在直接管理关系的，则填“无”。</w:t>
      </w:r>
    </w:p>
    <w:p>
      <w:pPr>
        <w:snapToGrid w:val="0"/>
        <w:spacing w:line="360" w:lineRule="auto"/>
        <w:jc w:val="left"/>
        <w:rPr>
          <w:szCs w:val="21"/>
        </w:rPr>
      </w:pPr>
    </w:p>
    <w:p>
      <w:pPr>
        <w:snapToGrid w:val="0"/>
        <w:spacing w:line="360" w:lineRule="auto"/>
        <w:jc w:val="left"/>
        <w:rPr>
          <w:szCs w:val="21"/>
        </w:rPr>
      </w:pPr>
    </w:p>
    <w:p>
      <w:pPr>
        <w:snapToGrid w:val="0"/>
        <w:spacing w:line="360" w:lineRule="auto"/>
        <w:jc w:val="left"/>
        <w:rPr>
          <w:szCs w:val="21"/>
        </w:rPr>
      </w:pPr>
    </w:p>
    <w:p>
      <w:pPr>
        <w:snapToGrid w:val="0"/>
        <w:spacing w:line="360" w:lineRule="auto"/>
        <w:ind w:firstLineChars="2100" w:firstLine="4410"/>
        <w:rPr>
          <w:szCs w:val="21"/>
        </w:rPr>
      </w:pPr>
      <w:r>
        <w:rPr>
          <w:rFonts w:hint="eastAsia"/>
          <w:szCs w:val="21"/>
        </w:rPr>
        <w:t>供应商名称(公章)：</w:t>
      </w:r>
    </w:p>
    <w:p>
      <w:pPr>
        <w:snapToGrid w:val="0"/>
        <w:spacing w:line="360" w:lineRule="auto"/>
        <w:ind w:firstLineChars="2150" w:firstLine="4515"/>
        <w:rPr>
          <w:szCs w:val="21"/>
        </w:rPr>
      </w:pPr>
      <w:r>
        <w:rPr>
          <w:rFonts w:hint="eastAsia"/>
          <w:szCs w:val="21"/>
        </w:rPr>
        <w:t>日期：  年  月   日</w:t>
      </w:r>
    </w:p>
    <w:p>
      <w:pPr>
        <w:pStyle w:val="31"/>
        <w:tabs>
          <w:tab w:val="left" w:pos="2127"/>
        </w:tabs>
        <w:spacing w:line="340" w:lineRule="exact"/>
        <w:rPr>
          <w:rFonts w:ascii="Times New Roman" w:cs="Times New Roman" w:hAnsi="Times New Roman"/>
        </w:rPr>
      </w:pPr>
    </w:p>
    <w:p>
      <w:pPr>
        <w:snapToGrid w:val="0"/>
        <w:spacing w:before="50" w:afterLines="50" w:after="120" w:line="440" w:lineRule="exact"/>
        <w:jc w:val="left"/>
        <w:rPr>
          <w:szCs w:val="21"/>
        </w:rPr>
      </w:pPr>
    </w:p>
    <w:p>
      <w:pPr>
        <w:snapToGrid w:val="0"/>
        <w:spacing w:before="50" w:afterLines="50" w:after="120" w:line="400" w:lineRule="exact"/>
        <w:jc w:val="left"/>
        <w:rPr>
          <w:bCs/>
          <w:sz w:val="24"/>
        </w:rPr>
      </w:pPr>
      <w:r>
        <w:rPr>
          <w:szCs w:val="21"/>
        </w:rPr>
        <w:br w:type="page"/>
      </w:r>
      <w:r>
        <w:rPr>
          <w:rFonts w:hint="eastAsia"/>
          <w:szCs w:val="21"/>
        </w:rPr>
        <w:t>8</w:t>
      </w:r>
      <w:r>
        <w:rPr>
          <w:szCs w:val="21"/>
        </w:rPr>
        <w:t>．建设工程项目管理承诺书</w:t>
      </w:r>
    </w:p>
    <w:p>
      <w:pPr>
        <w:pStyle w:val="166"/>
        <w:jc w:val="center"/>
        <w:rPr>
          <w:rFonts w:ascii="Times New Roman" w:hAnsi="Times New Roman"/>
          <w:szCs w:val="21"/>
        </w:rPr>
      </w:pPr>
      <w:r>
        <w:rPr>
          <w:rFonts w:ascii="Times New Roman" w:hAnsi="Times New Roman"/>
          <w:szCs w:val="21"/>
        </w:rPr>
        <w:t>建设工程项目管理承诺书</w:t>
      </w:r>
    </w:p>
    <w:p>
      <w:pPr>
        <w:spacing w:line="360" w:lineRule="auto"/>
        <w:jc w:val="center"/>
        <w:rPr>
          <w:b/>
          <w:bCs/>
          <w:sz w:val="24"/>
        </w:rPr>
      </w:pPr>
    </w:p>
    <w:p>
      <w:pPr>
        <w:spacing w:line="360" w:lineRule="auto"/>
        <w:jc w:val="center"/>
        <w:rPr>
          <w:b/>
          <w:bCs/>
          <w:sz w:val="24"/>
        </w:rPr>
      </w:pPr>
    </w:p>
    <w:p>
      <w:pPr>
        <w:pStyle w:val="31"/>
        <w:tabs>
          <w:tab w:val="left" w:pos="2127"/>
        </w:tabs>
        <w:spacing w:line="340" w:lineRule="exact"/>
        <w:rPr>
          <w:rFonts w:ascii="Times New Roman" w:cs="Times New Roman" w:hAnsi="Times New Roman"/>
        </w:rPr>
      </w:pPr>
      <w:r>
        <w:rPr>
          <w:rFonts w:ascii="Times New Roman" w:cs="Times New Roman" w:hAnsi="Times New Roman"/>
        </w:rPr>
        <w:t>致</w:t>
      </w:r>
      <w:r>
        <w:rPr>
          <w:i/>
          <w:iCs/>
          <w:u w:val="single"/>
        </w:rPr>
        <w:t>（采购</w:t>
      </w:r>
      <w:r>
        <w:rPr>
          <w:rFonts w:hint="eastAsia"/>
          <w:i/>
          <w:iCs/>
          <w:u w:val="single"/>
        </w:rPr>
        <w:t>人</w:t>
      </w:r>
      <w:r>
        <w:rPr>
          <w:i/>
          <w:iCs/>
          <w:u w:val="single"/>
        </w:rPr>
        <w:t>名称）</w:t>
      </w:r>
      <w:r>
        <w:t>：</w:t>
      </w:r>
    </w:p>
    <w:p>
      <w:pPr>
        <w:snapToGrid w:val="0"/>
        <w:spacing w:beforeLines="50" w:before="120" w:line="360" w:lineRule="exact"/>
        <w:ind w:firstLineChars="200" w:firstLine="420"/>
        <w:rPr>
          <w:szCs w:val="21"/>
        </w:rPr>
      </w:pPr>
      <w:r>
        <w:rPr>
          <w:szCs w:val="21"/>
        </w:rPr>
        <w:t>作为参与</w:t>
      </w:r>
      <w:r>
        <w:rPr>
          <w:szCs w:val="21"/>
          <w:u w:val="single"/>
        </w:rPr>
        <w:t></w:t>
      </w:r>
      <w:r>
        <w:rPr>
          <w:i/>
          <w:iCs/>
          <w:szCs w:val="21"/>
          <w:u w:val="single"/>
        </w:rPr>
        <w:t>（工程名称）</w:t>
      </w:r>
      <w:r>
        <w:rPr>
          <w:szCs w:val="21"/>
        </w:rPr>
        <w:t>项目的供应商，根据国家、自治区相关文件规定，我方在此承诺：</w:t>
      </w:r>
    </w:p>
    <w:p>
      <w:pPr>
        <w:spacing w:line="520" w:lineRule="exact"/>
        <w:ind w:leftChars="-1" w:left="-2" w:firstLineChars="214" w:firstLine="449"/>
        <w:jc w:val="left"/>
        <w:rPr>
          <w:szCs w:val="21"/>
        </w:rPr>
      </w:pPr>
      <w:r>
        <w:rPr>
          <w:rFonts w:hint="eastAsia"/>
          <w:szCs w:val="21"/>
        </w:rPr>
        <w:t>1、一旦成交，</w:t>
      </w:r>
      <w:r>
        <w:t>我方保证按照政府相关部门的规定，</w:t>
      </w:r>
      <w:r>
        <w:rPr>
          <w:rFonts w:ascii="宋体" w:hint="eastAsia"/>
        </w:rPr>
        <w:t>在</w:t>
      </w:r>
      <w:r>
        <w:rPr>
          <w:rFonts w:hint="eastAsia"/>
          <w:szCs w:val="21"/>
        </w:rPr>
        <w:t>成交</w:t>
      </w:r>
      <w:r>
        <w:rPr>
          <w:rFonts w:ascii="宋体" w:hint="eastAsia"/>
        </w:rPr>
        <w:t>后7个工作日内，按照《保障农民工工资支付条例》规定及广西壮族自治区有关规定开设农民工工资专用账户，并按</w:t>
      </w:r>
      <w:r>
        <w:rPr>
          <w:rFonts w:ascii="宋体" w:hint="eastAsia"/>
          <w:u w:val="single"/>
        </w:rPr>
        <w:t>要求</w:t>
      </w:r>
      <w:r>
        <w:rPr>
          <w:rFonts w:ascii="宋体" w:hint="eastAsia"/>
        </w:rPr>
        <w:t>比例将农民工工资保证金存入帐户</w:t>
      </w:r>
      <w:r>
        <w:rPr>
          <w:rFonts w:hint="eastAsia"/>
        </w:rPr>
        <w:t>，专项用于支付本工程提供劳动的农民工被拖欠的工资。</w:t>
      </w:r>
      <w:r>
        <w:t>按照与农民工依法约定的工资支付周期和具体支付日期支付工资</w:t>
      </w:r>
      <w:r>
        <w:rPr>
          <w:rFonts w:hint="eastAsia"/>
        </w:rPr>
        <w:t>，保证</w:t>
      </w:r>
      <w:r>
        <w:t>每月至少向农民工足额支付一次工资。</w:t>
      </w:r>
    </w:p>
    <w:p>
      <w:pPr>
        <w:spacing w:line="520" w:lineRule="exact"/>
        <w:ind w:leftChars="-1" w:left="-2" w:firstLineChars="214" w:firstLine="449"/>
        <w:jc w:val="left"/>
        <w:rPr>
          <w:szCs w:val="21"/>
        </w:rPr>
      </w:pPr>
      <w:r>
        <w:rPr>
          <w:rFonts w:hint="eastAsia"/>
          <w:szCs w:val="21"/>
        </w:rPr>
        <w:t>2、一旦成交，我方保证在施工过程中，严格执行《广西壮族自治区建筑工程安全文明施工费使用管理细则》（桂建质〔2015〕16号）的有关规定，确保建设工程各项安全防护、文明施工措施落实到位。如我方在该项目的承包中出现未按桂建质〔2015〕16号文附件一规定执行的情形，我方愿意按照相关规定接受建设单位及有关主管部门的处罚。</w:t>
      </w:r>
    </w:p>
    <w:p>
      <w:pPr>
        <w:spacing w:line="520" w:lineRule="exact"/>
        <w:ind w:leftChars="-1" w:left="-2" w:firstLineChars="214" w:firstLine="449"/>
        <w:jc w:val="left"/>
        <w:rPr>
          <w:szCs w:val="21"/>
        </w:rPr>
      </w:pPr>
      <w:r>
        <w:rPr>
          <w:rFonts w:hint="eastAsia"/>
          <w:szCs w:val="21"/>
        </w:rPr>
        <w:t>3、一旦成交，我方保证在施工过程中，严格执行散装水泥和预拌混凝土管理的有关规定，确保建设工程按规定使用散装水泥和预拌混凝土。如我方在该项目的承包中出现未按规定执行的情形，我方愿意按照相关规定接受建设单位及有关主管部门的处罚。</w:t>
      </w:r>
    </w:p>
    <w:p>
      <w:pPr>
        <w:spacing w:line="520" w:lineRule="exact"/>
        <w:ind w:leftChars="-1" w:left="-2" w:firstLineChars="214" w:firstLine="449"/>
        <w:jc w:val="left"/>
        <w:rPr>
          <w:szCs w:val="21"/>
        </w:rPr>
      </w:pPr>
      <w:r>
        <w:rPr>
          <w:rFonts w:hint="eastAsia"/>
          <w:szCs w:val="21"/>
        </w:rPr>
        <w:t>4、一旦成交，我方保证在施工过程中，严格执行《关于禁止使用不符合规范要求的竹脚手架的通知》（桂建管字〔2003〕40号）的有关规定，不使用竹脚手架。如我方在该项目的承包中出现未按规定执行的情形，我方愿意按照相关规定接受建设单位及有关主管部门的处罚。</w:t>
      </w:r>
    </w:p>
    <w:p>
      <w:pPr>
        <w:spacing w:line="520" w:lineRule="exact"/>
        <w:ind w:leftChars="-1" w:left="-2" w:firstLineChars="214" w:firstLine="449"/>
        <w:jc w:val="left"/>
      </w:pPr>
      <w:r>
        <w:rPr>
          <w:rFonts w:hint="eastAsia"/>
          <w:szCs w:val="21"/>
        </w:rPr>
        <w:t>5、一旦成交，我方保证严格执行《危险性较大的分部分项工程安全管理规定》（建办质〔2018〕31号）的规定，强化对深基坑、高切坡、高大模板、人工挖孔桩、起重吊装、临时活动板房等重大危险源的专项施工方案的编制、论证、审批、实施、检测的风险管理。</w:t>
      </w:r>
    </w:p>
    <w:p>
      <w:pPr>
        <w:spacing w:line="360" w:lineRule="auto"/>
        <w:jc w:val="left"/>
      </w:pPr>
    </w:p>
    <w:p>
      <w:pPr>
        <w:spacing w:line="360" w:lineRule="auto"/>
        <w:jc w:val="left"/>
      </w:pPr>
    </w:p>
    <w:p>
      <w:pPr>
        <w:snapToGrid w:val="0"/>
        <w:spacing w:beforeLines="50" w:before="120" w:after="50" w:line="360" w:lineRule="exact"/>
        <w:ind w:firstLineChars="2100" w:firstLine="4410"/>
        <w:rPr>
          <w:szCs w:val="21"/>
        </w:rPr>
      </w:pPr>
      <w:bookmarkStart w:id="141" w:name="_Hlk89190944"/>
      <w:r>
        <w:rPr>
          <w:szCs w:val="21"/>
        </w:rPr>
        <w:t>供应商</w:t>
      </w:r>
      <w:r>
        <w:rPr>
          <w:rFonts w:hint="eastAsia"/>
          <w:szCs w:val="21"/>
        </w:rPr>
        <w:t>名称（公章）</w:t>
      </w:r>
      <w:r>
        <w:rPr>
          <w:szCs w:val="21"/>
        </w:rPr>
        <w:t>：</w:t>
      </w:r>
      <w:r>
        <w:rPr>
          <w:szCs w:val="21"/>
          <w:u w:val="single"/>
        </w:rPr>
        <w:t xml:space="preserve">                </w:t>
      </w:r>
    </w:p>
    <w:p>
      <w:pPr>
        <w:spacing w:line="360" w:lineRule="auto"/>
        <w:ind w:firstLineChars="600" w:firstLine="1260"/>
        <w:jc w:val="left"/>
      </w:pPr>
      <w:bookmarkEnd w:id="141"/>
    </w:p>
    <w:p>
      <w:pPr>
        <w:spacing w:line="360" w:lineRule="auto"/>
        <w:ind w:firstLineChars="2150" w:firstLine="4515"/>
        <w:jc w:val="left"/>
      </w:pPr>
      <w:r>
        <w:t>日期：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360" w:lineRule="auto"/>
        <w:ind w:firstLineChars="250" w:firstLine="525"/>
        <w:jc w:val="center"/>
        <w:rPr>
          <w:b/>
          <w:sz w:val="28"/>
          <w:szCs w:val="28"/>
        </w:rPr>
      </w:pPr>
      <w:r>
        <w:rPr>
          <w:szCs w:val="21"/>
        </w:rPr>
        <w:br w:type="page"/>
      </w:r>
      <w:r>
        <w:rPr>
          <w:b/>
          <w:sz w:val="28"/>
          <w:szCs w:val="28"/>
        </w:rPr>
        <w:t>广西壮族自治区建筑工程安全文明施工措施项目清单内容</w:t>
      </w:r>
    </w:p>
    <w:p>
      <w:pPr>
        <w:pStyle w:val="224"/>
        <w:spacing w:line="360" w:lineRule="auto"/>
        <w:jc w:val="center"/>
      </w:pPr>
      <w:r>
        <w:rPr>
          <w:sz w:val="24"/>
        </w:rPr>
        <w:t>（桂建质【2015】16号文附件一）</w:t>
      </w:r>
    </w:p>
    <w:p>
      <w:pPr>
        <w:pStyle w:val="225"/>
        <w:spacing w:line="0" w:lineRule="atLeast"/>
        <w:jc w:val="center"/>
        <w:rPr>
          <w:b/>
          <w:bCs/>
          <w:sz w:val="24"/>
        </w:rPr>
      </w:pPr>
      <w:r>
        <w:rPr>
          <w:b/>
          <w:bCs/>
          <w:sz w:val="24"/>
        </w:rPr>
        <w:t>广西壮族自治区</w:t>
      </w:r>
    </w:p>
    <w:p>
      <w:pPr>
        <w:pStyle w:val="225"/>
        <w:spacing w:line="0" w:lineRule="atLeast"/>
        <w:jc w:val="center"/>
        <w:rPr>
          <w:b/>
          <w:bCs/>
          <w:w w:val="90"/>
          <w:sz w:val="24"/>
        </w:rPr>
      </w:pPr>
      <w:r>
        <w:rPr>
          <w:b/>
          <w:bCs/>
          <w:w w:val="90"/>
          <w:sz w:val="24"/>
        </w:rPr>
        <w:t>建设工程安全文明施工措施项目清单内容</w:t>
      </w:r>
    </w:p>
    <w:tbl>
      <w:tblPr>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38"/>
        <w:gridCol w:w="525"/>
        <w:gridCol w:w="1545"/>
        <w:gridCol w:w="6645"/>
      </w:tblGrid>
      <w:tr>
        <w:trPr>
          <w:cantSplit/>
          <w:trHeight w:hRule="exact" w:val="501"/>
        </w:trPr>
        <w:tc>
          <w:tcPr>
            <w:tcW w:w="738" w:type="dxa"/>
            <w:tcBorders>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类别</w:t>
            </w:r>
          </w:p>
        </w:tc>
        <w:tc>
          <w:tcPr>
            <w:tcW w:w="2070" w:type="dxa"/>
            <w:gridSpan w:val="2"/>
            <w:tcBorders>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项目名称</w:t>
            </w:r>
          </w:p>
        </w:tc>
        <w:tc>
          <w:tcPr>
            <w:tcW w:w="6645" w:type="dxa"/>
            <w:tcBorders>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主要内容和要求</w:t>
            </w:r>
          </w:p>
        </w:tc>
      </w:tr>
      <w:tr>
        <w:trPr>
          <w:cantSplit/>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文明</w:t>
            </w:r>
          </w:p>
          <w:p>
            <w:pPr>
              <w:pStyle w:val="225"/>
              <w:spacing w:line="300" w:lineRule="exact"/>
              <w:jc w:val="center"/>
              <w:rPr>
                <w:rFonts w:eastAsia="方正仿宋_GBK"/>
                <w:szCs w:val="21"/>
              </w:rPr>
            </w:pPr>
            <w:r>
              <w:rPr>
                <w:rFonts w:eastAsia="方正仿宋_GBK"/>
                <w:szCs w:val="21"/>
              </w:rPr>
              <w:t>施工</w:t>
            </w:r>
          </w:p>
          <w:p>
            <w:pPr>
              <w:pStyle w:val="225"/>
              <w:spacing w:line="300" w:lineRule="exact"/>
              <w:jc w:val="center"/>
              <w:rPr>
                <w:rFonts w:eastAsia="方正仿宋_GBK"/>
                <w:szCs w:val="21"/>
              </w:rPr>
            </w:pPr>
            <w:r>
              <w:rPr>
                <w:rFonts w:eastAsia="方正仿宋_GBK"/>
                <w:szCs w:val="21"/>
              </w:rPr>
              <w:t>与</w:t>
            </w:r>
          </w:p>
          <w:p>
            <w:pPr>
              <w:pStyle w:val="225"/>
              <w:spacing w:line="300" w:lineRule="exact"/>
              <w:jc w:val="center"/>
              <w:rPr>
                <w:rFonts w:eastAsia="方正仿宋_GBK"/>
                <w:szCs w:val="21"/>
              </w:rPr>
            </w:pPr>
            <w:r>
              <w:rPr>
                <w:rFonts w:eastAsia="方正仿宋_GBK"/>
                <w:szCs w:val="21"/>
              </w:rPr>
              <w:t>环境</w:t>
            </w:r>
          </w:p>
          <w:p>
            <w:pPr>
              <w:pStyle w:val="225"/>
              <w:spacing w:line="300" w:lineRule="exact"/>
              <w:jc w:val="center"/>
              <w:rPr>
                <w:rFonts w:eastAsia="方正仿宋_GBK"/>
                <w:szCs w:val="21"/>
              </w:rPr>
            </w:pPr>
            <w:r>
              <w:rPr>
                <w:rFonts w:eastAsia="方正仿宋_GBK"/>
                <w:szCs w:val="21"/>
              </w:rPr>
              <w:t>保护</w:t>
            </w: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安全警示</w:t>
            </w:r>
          </w:p>
          <w:p>
            <w:pPr>
              <w:pStyle w:val="225"/>
              <w:spacing w:line="300" w:lineRule="exact"/>
              <w:jc w:val="center"/>
              <w:rPr>
                <w:rFonts w:eastAsia="方正仿宋_GBK"/>
                <w:szCs w:val="21"/>
              </w:rPr>
            </w:pPr>
            <w:r>
              <w:rPr>
                <w:rFonts w:eastAsia="方正仿宋_GBK"/>
                <w:szCs w:val="21"/>
              </w:rPr>
              <w:t>标志牌</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在易发伤亡事故（或危险）处设置明显的、符合国家标准要求的安全警示标志牌。</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现场围挡</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现场采用封闭围挡，高度不小于1.8m。</w:t>
            </w:r>
          </w:p>
          <w:p>
            <w:pPr>
              <w:pStyle w:val="225"/>
              <w:spacing w:line="300" w:lineRule="exact"/>
              <w:rPr>
                <w:rFonts w:eastAsia="方正仿宋_GBK"/>
                <w:szCs w:val="21"/>
              </w:rPr>
            </w:pPr>
            <w:r>
              <w:rPr>
                <w:rFonts w:eastAsia="方正仿宋_GBK"/>
                <w:szCs w:val="21"/>
              </w:rPr>
              <w:t>2. 围挡材料可用彩色、定型钢板，砌块等墙体。</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七牌二图</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在进门处悬挂工程概况、现场出入制度、管理人员名单及监督电话、安全生产规定、文明施工、消防保卫、节能公示等七牌以及施工现场总平面图、工程效果图。</w:t>
            </w:r>
          </w:p>
        </w:tc>
      </w:tr>
      <w:tr>
        <w:trPr>
          <w:cantSplit/>
          <w:trHeigh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企业标志</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现场出入的大门应设有本企业标志或企业标识。</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场容场貌</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道路畅通。</w:t>
            </w:r>
          </w:p>
          <w:p>
            <w:pPr>
              <w:pStyle w:val="225"/>
              <w:spacing w:line="300" w:lineRule="exact"/>
              <w:rPr>
                <w:rFonts w:eastAsia="方正仿宋_GBK"/>
                <w:szCs w:val="21"/>
              </w:rPr>
            </w:pPr>
            <w:r>
              <w:rPr>
                <w:rFonts w:eastAsia="方正仿宋_GBK"/>
                <w:szCs w:val="21"/>
              </w:rPr>
              <w:t>2. 排水设施齐全畅通。</w:t>
            </w:r>
          </w:p>
          <w:p>
            <w:pPr>
              <w:pStyle w:val="225"/>
              <w:spacing w:line="300" w:lineRule="exact"/>
              <w:rPr>
                <w:rFonts w:eastAsia="方正仿宋_GBK"/>
                <w:szCs w:val="21"/>
              </w:rPr>
            </w:pPr>
            <w:r>
              <w:rPr>
                <w:rFonts w:eastAsia="方正仿宋_GBK"/>
                <w:szCs w:val="21"/>
              </w:rPr>
              <w:t>3. 工地地面硬化处理（办公区、生活区、现场道路、材料堆放、混凝土搅拌、砂浆搅拌、钢筋加工等场地和外脚手架基础等）。</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材料堆放</w:t>
            </w:r>
          </w:p>
        </w:tc>
        <w:tc>
          <w:tcPr>
            <w:tcW w:w="6645" w:type="dxa"/>
            <w:tcBorders>
              <w:top w:val="single" w:sz="4" w:space="0" w:color="auto"/>
              <w:left w:val="single" w:sz="4" w:space="0" w:color="auto"/>
              <w:right w:val="single" w:sz="12" w:space="0" w:color="auto"/>
            </w:tcBorders>
            <w:vAlign w:val="center"/>
          </w:tcPr>
          <w:p>
            <w:pPr>
              <w:pStyle w:val="225"/>
              <w:numPr>
                <w:ilvl w:val="0"/>
                <w:numId w:val="4"/>
              </w:numPr>
              <w:spacing w:line="300" w:lineRule="exact"/>
              <w:rPr>
                <w:rFonts w:eastAsia="方正仿宋_GBK"/>
                <w:szCs w:val="21"/>
              </w:rPr>
            </w:pPr>
            <w:r>
              <w:rPr>
                <w:rFonts w:eastAsia="方正仿宋_GBK"/>
                <w:szCs w:val="21"/>
              </w:rPr>
              <w:t>材料、构件、料具等堆放时，应有名称、品种、规格等标牌。</w:t>
            </w:r>
          </w:p>
          <w:p>
            <w:pPr>
              <w:pStyle w:val="225"/>
              <w:spacing w:line="300" w:lineRule="exact"/>
              <w:rPr>
                <w:rFonts w:eastAsia="方正仿宋_GBK"/>
                <w:szCs w:val="21"/>
              </w:rPr>
            </w:pPr>
            <w:r>
              <w:rPr>
                <w:rFonts w:eastAsia="方正仿宋_GBK"/>
                <w:szCs w:val="21"/>
              </w:rPr>
              <w:t>2. 水泥和其它易飞扬细颗粒建筑材料应封闭存放或采取覆盖等措施。</w:t>
            </w:r>
          </w:p>
          <w:p>
            <w:pPr>
              <w:pStyle w:val="225"/>
              <w:spacing w:line="300" w:lineRule="exact"/>
              <w:rPr>
                <w:rFonts w:eastAsia="方正仿宋_GBK"/>
                <w:szCs w:val="21"/>
              </w:rPr>
            </w:pPr>
            <w:r>
              <w:rPr>
                <w:rFonts w:eastAsia="方正仿宋_GBK"/>
                <w:szCs w:val="21"/>
              </w:rPr>
              <w:t>3. 易燃、易爆和有毒有害物品分类存放。</w:t>
            </w:r>
          </w:p>
        </w:tc>
      </w:tr>
      <w:tr>
        <w:trPr>
          <w:cantSplit/>
          <w:trHeight w:hRule="exac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现场防火</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消防器材配置合理，符合消防要求。</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垃圾清运</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施工现场应设置密闭式垃圾站，施工垃圾、生活垃圾应分类存放。</w:t>
            </w:r>
          </w:p>
          <w:p>
            <w:pPr>
              <w:pStyle w:val="225"/>
              <w:spacing w:line="300" w:lineRule="exact"/>
              <w:rPr>
                <w:rFonts w:eastAsia="方正仿宋_GBK"/>
                <w:szCs w:val="21"/>
              </w:rPr>
            </w:pPr>
            <w:r>
              <w:rPr>
                <w:rFonts w:eastAsia="方正仿宋_GBK"/>
                <w:szCs w:val="21"/>
              </w:rPr>
              <w:t>2. 施工垃圾必须采用相应容器或管道运输。</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宣传栏、环保及不扰民措施</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宣传栏、安全宣传标语等，洗车（防止污染市区道路）、粉尘、噪声控制和排污（污水、废气）措施等。</w:t>
            </w:r>
          </w:p>
        </w:tc>
      </w:tr>
      <w:tr>
        <w:trPr>
          <w:cantSplit/>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临时设施</w:t>
            </w: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现场办公</w:t>
            </w:r>
          </w:p>
          <w:p>
            <w:pPr>
              <w:pStyle w:val="225"/>
              <w:spacing w:line="300" w:lineRule="exact"/>
              <w:jc w:val="center"/>
              <w:rPr>
                <w:rFonts w:eastAsia="方正仿宋_GBK"/>
                <w:szCs w:val="21"/>
              </w:rPr>
            </w:pPr>
            <w:r>
              <w:rPr>
                <w:rFonts w:eastAsia="方正仿宋_GBK"/>
                <w:szCs w:val="21"/>
              </w:rPr>
              <w:t>生活设施</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施工现场办公、生活区与作业区分开设置，保持安全距离。</w:t>
            </w:r>
          </w:p>
          <w:p>
            <w:pPr>
              <w:pStyle w:val="225"/>
              <w:spacing w:line="300" w:lineRule="exact"/>
              <w:rPr>
                <w:rFonts w:eastAsia="方正仿宋_GBK"/>
                <w:szCs w:val="21"/>
              </w:rPr>
            </w:pPr>
            <w:r>
              <w:rPr>
                <w:rFonts w:eastAsia="方正仿宋_GBK"/>
                <w:szCs w:val="21"/>
              </w:rPr>
              <w:t>2. 工地办公室、现场宿舍、食堂、厕所、饮水、沐浴、休息场所等符合卫生、消防安全要求。</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val="restart"/>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施工现场</w:t>
            </w:r>
          </w:p>
          <w:p>
            <w:pPr>
              <w:pStyle w:val="225"/>
              <w:spacing w:line="300" w:lineRule="exact"/>
              <w:jc w:val="center"/>
              <w:rPr>
                <w:rFonts w:eastAsia="方正仿宋_GBK"/>
                <w:szCs w:val="21"/>
              </w:rPr>
            </w:pPr>
            <w:r>
              <w:rPr>
                <w:rFonts w:eastAsia="方正仿宋_GBK"/>
                <w:szCs w:val="21"/>
              </w:rPr>
              <w:t>临时用电</w:t>
            </w: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配电线路</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按照TN-S系统要求配备五芯电缆、四芯电缆和三芯电缆。</w:t>
            </w:r>
          </w:p>
          <w:p>
            <w:pPr>
              <w:pStyle w:val="225"/>
              <w:spacing w:line="300" w:lineRule="exact"/>
              <w:rPr>
                <w:rFonts w:eastAsia="方正仿宋_GBK"/>
                <w:szCs w:val="21"/>
              </w:rPr>
            </w:pPr>
            <w:r>
              <w:rPr>
                <w:rFonts w:eastAsia="方正仿宋_GBK"/>
                <w:szCs w:val="21"/>
              </w:rPr>
              <w:t>2. 按要求架设临时用电线路的电杆、横担、瓷夹、瓷瓶等，或电缆埋地的地沟。</w:t>
            </w:r>
          </w:p>
          <w:p>
            <w:pPr>
              <w:pStyle w:val="225"/>
              <w:spacing w:line="300" w:lineRule="exact"/>
              <w:rPr>
                <w:rFonts w:eastAsia="方正仿宋_GBK"/>
                <w:szCs w:val="21"/>
              </w:rPr>
            </w:pPr>
            <w:r>
              <w:rPr>
                <w:rFonts w:eastAsia="方正仿宋_GBK"/>
                <w:szCs w:val="21"/>
              </w:rPr>
              <w:t>3. 对靠近施工现场的外电线路，设置木质、塑料等绝缘体的防护设施。</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配电箱</w:t>
            </w:r>
          </w:p>
          <w:p>
            <w:pPr>
              <w:pStyle w:val="225"/>
              <w:spacing w:line="300" w:lineRule="exact"/>
              <w:jc w:val="center"/>
              <w:rPr>
                <w:rFonts w:eastAsia="方正仿宋_GBK"/>
                <w:szCs w:val="21"/>
              </w:rPr>
            </w:pPr>
            <w:r>
              <w:rPr>
                <w:rFonts w:eastAsia="方正仿宋_GBK"/>
                <w:szCs w:val="21"/>
              </w:rPr>
              <w:t>开关箱</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按三级配电要求，配备总配电箱、分配电箱、开关箱三类（铁质）标准电箱，开关箱应符合“一机、一箱、一闸、一漏”，三类电箱中的各类电器应是合格品。</w:t>
            </w:r>
          </w:p>
          <w:p>
            <w:pPr>
              <w:pStyle w:val="225"/>
              <w:spacing w:line="300" w:lineRule="exact"/>
              <w:rPr>
                <w:rFonts w:eastAsia="方正仿宋_GBK"/>
                <w:szCs w:val="21"/>
              </w:rPr>
            </w:pPr>
            <w:r>
              <w:rPr>
                <w:rFonts w:eastAsia="方正仿宋_GBK"/>
                <w:szCs w:val="21"/>
              </w:rPr>
              <w:t>2. 按两级保护的要求，选取符合容量要求和质量合格的总配电箱和开关箱中的漏电保护器。</w:t>
            </w:r>
          </w:p>
          <w:p>
            <w:pPr>
              <w:pStyle w:val="225"/>
              <w:spacing w:line="300" w:lineRule="exact"/>
              <w:rPr>
                <w:rFonts w:eastAsia="方正仿宋_GBK"/>
                <w:szCs w:val="21"/>
              </w:rPr>
            </w:pPr>
            <w:r>
              <w:rPr>
                <w:rFonts w:eastAsia="方正仿宋_GBK"/>
                <w:szCs w:val="21"/>
              </w:rPr>
              <w:t>3. 对大型、落地式分配电箱、开关箱设置防护棚和通透式围挡。</w:t>
            </w:r>
          </w:p>
        </w:tc>
      </w:tr>
      <w:tr>
        <w:trPr>
          <w:cantSplit/>
          <w:trHeight w:val="575"/>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接地装置</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施工现场应设置不少于三处的重复接地装置。</w:t>
            </w:r>
          </w:p>
        </w:tc>
      </w:tr>
      <w:tr>
        <w:trPr>
          <w:trHeight w:val="916"/>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现场变配电装置</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总配电房建筑材料必须达到消防防火要求，室内做硬地坪、电缆沟。</w:t>
            </w:r>
          </w:p>
        </w:tc>
      </w:tr>
      <w:tr>
        <w:trPr>
          <w:cantSplit/>
          <w:trHeight w:val="466"/>
        </w:trPr>
        <w:tc>
          <w:tcPr>
            <w:tcW w:w="738" w:type="dxa"/>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类别</w:t>
            </w: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b/>
                <w:bCs/>
                <w:szCs w:val="21"/>
              </w:rPr>
            </w:pPr>
            <w:r>
              <w:rPr>
                <w:rFonts w:eastAsia="方正仿宋_GBK"/>
                <w:b/>
                <w:bCs/>
                <w:szCs w:val="21"/>
              </w:rPr>
              <w:t>项目名称</w:t>
            </w:r>
          </w:p>
        </w:tc>
        <w:tc>
          <w:tcPr>
            <w:tcW w:w="6645" w:type="dxa"/>
            <w:tcBorders>
              <w:top w:val="single" w:sz="4" w:space="0" w:color="auto"/>
              <w:left w:val="single" w:sz="4" w:space="0" w:color="auto"/>
              <w:right w:val="single" w:sz="12" w:space="0" w:color="auto"/>
            </w:tcBorders>
            <w:vAlign w:val="center"/>
          </w:tcPr>
          <w:p>
            <w:pPr>
              <w:pStyle w:val="225"/>
              <w:spacing w:line="300" w:lineRule="exact"/>
              <w:jc w:val="center"/>
              <w:rPr>
                <w:rFonts w:eastAsia="方正仿宋_GBK"/>
                <w:b/>
                <w:bCs/>
                <w:szCs w:val="21"/>
              </w:rPr>
            </w:pPr>
            <w:r>
              <w:rPr>
                <w:rFonts w:eastAsia="方正仿宋_GBK"/>
                <w:b/>
                <w:bCs/>
                <w:szCs w:val="21"/>
              </w:rPr>
              <w:t>主要内容和要求</w:t>
            </w:r>
          </w:p>
        </w:tc>
      </w:tr>
      <w:tr>
        <w:trPr>
          <w:cantSplit/>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安全施工</w:t>
            </w:r>
          </w:p>
        </w:tc>
        <w:tc>
          <w:tcPr>
            <w:tcW w:w="525" w:type="dxa"/>
            <w:vMerge w:val="restart"/>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高处作业防护</w:t>
            </w: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楼层、屋面、阳台等临边</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设两道防护栏杆和18cm高的踢脚板，用密目式安全立网全封闭。</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通道口</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设防护棚，防护棚应为不小于5cm厚的木板或两道相距50cm的竹笆。两侧应沿栏杆架用密目式安全网封闭。</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预留洞口</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用硬质材料全封闭，短边超过1.5m长的洞口，除封闭外四周还应设有防护栏杆。</w:t>
            </w:r>
          </w:p>
        </w:tc>
      </w:tr>
      <w:tr>
        <w:trPr>
          <w:cantSplit/>
          <w:trHeight w:val="605"/>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电梯井口</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设置定型化、工具化的防护门，在电梯井内每隔2层（不大于10m）设置一道水平防护。</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楼梯边</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设1.2m高的定型化、工具化的防护栏，18cm高的踢脚板。</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垂直方向交叉作业</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设置防护隔离棚或其它设施。</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高处作业</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有悬挂安全带的悬索或其它设施，有操作平台，有上下的梯子或其它形式的通道。</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rPr>
                <w:rFonts w:eastAsia="方正仿宋_GBK"/>
                <w:szCs w:val="21"/>
              </w:rPr>
            </w:pPr>
            <w:r>
              <w:rPr>
                <w:rFonts w:eastAsia="方正仿宋_GBK"/>
                <w:szCs w:val="21"/>
              </w:rPr>
              <w:t>基坑、物料平台</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设1.2m高标准化的防护栏，用密目式安全立网封闭，悬挂标识。</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安全防护用品</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安全帽、安全带、特种作业人员（电工、焊工、架子工等）防护服装、用品等。</w:t>
            </w:r>
          </w:p>
        </w:tc>
      </w:tr>
      <w:tr>
        <w:trPr>
          <w:cantSplit/>
          <w:trHeight w:val="655"/>
        </w:trPr>
        <w:tc>
          <w:tcPr>
            <w:tcW w:w="738" w:type="dxa"/>
            <w:vMerge w:val="restart"/>
            <w:tcBorders>
              <w:top w:val="single" w:sz="4" w:space="0" w:color="auto"/>
              <w:left w:val="single" w:sz="12"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其它</w:t>
            </w:r>
          </w:p>
        </w:tc>
        <w:tc>
          <w:tcPr>
            <w:tcW w:w="525" w:type="dxa"/>
            <w:vMerge w:val="restart"/>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机械设备防护</w:t>
            </w: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中小型机械</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设防护棚（同通道口防护并有防雨措施）。</w:t>
            </w:r>
          </w:p>
        </w:tc>
      </w:tr>
      <w:tr>
        <w:trPr>
          <w:cantSplit/>
        </w:trPr>
        <w:tc>
          <w:tcPr>
            <w:tcW w:w="738" w:type="dxa"/>
            <w:vMerge/>
            <w:tcBorders>
              <w:top w:val="single" w:sz="4" w:space="0" w:color="auto"/>
              <w:left w:val="single" w:sz="12" w:space="0" w:color="auto"/>
              <w:right w:val="single" w:sz="4" w:space="0" w:color="auto"/>
            </w:tcBorders>
            <w:vAlign w:val="center"/>
          </w:tcPr>
          <w:p/>
        </w:tc>
        <w:tc>
          <w:tcPr>
            <w:tcW w:w="525" w:type="dxa"/>
            <w:vMerge/>
            <w:tcBorders>
              <w:top w:val="single" w:sz="4" w:space="0" w:color="auto"/>
              <w:left w:val="single" w:sz="4" w:space="0" w:color="auto"/>
              <w:right w:val="single" w:sz="4" w:space="0" w:color="auto"/>
            </w:tcBorders>
            <w:vAlign w:val="center"/>
          </w:tcPr>
          <w:p/>
        </w:tc>
        <w:tc>
          <w:tcPr>
            <w:tcW w:w="1545" w:type="dxa"/>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垂直运输设备</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1. 垂直运输设备检测、检验、日常维护、保养等。</w:t>
            </w:r>
          </w:p>
          <w:p>
            <w:pPr>
              <w:pStyle w:val="225"/>
              <w:spacing w:line="300" w:lineRule="exact"/>
              <w:rPr>
                <w:rFonts w:eastAsia="方正仿宋_GBK"/>
                <w:szCs w:val="21"/>
              </w:rPr>
            </w:pPr>
            <w:r>
              <w:rPr>
                <w:rFonts w:eastAsia="方正仿宋_GBK"/>
                <w:szCs w:val="21"/>
              </w:rPr>
              <w:t>2. 物料提升机、施工电梯等物料平台搭设、外侧用密目式安全立网全封闭，有安全通道、安全防护门、防护棚等。</w:t>
            </w:r>
          </w:p>
        </w:tc>
      </w:tr>
      <w:tr>
        <w:trPr>
          <w:cantSplit/>
          <w:trHeight w:hRule="exac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专家论证审查</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超过一定规模的危险性较大分部分项工程专家论证审查。</w:t>
            </w:r>
          </w:p>
        </w:tc>
      </w:tr>
      <w:tr>
        <w:trPr>
          <w:cantSplit/>
          <w:trHeight w:hRule="exact" w:val="510"/>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应急救援预案</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救援器材准备及演练等。</w:t>
            </w:r>
          </w:p>
        </w:tc>
      </w:tr>
      <w:tr>
        <w:trPr>
          <w:cantSplit/>
        </w:trPr>
        <w:tc>
          <w:tcPr>
            <w:tcW w:w="738" w:type="dxa"/>
            <w:vMerge/>
            <w:tcBorders>
              <w:top w:val="single" w:sz="4" w:space="0" w:color="auto"/>
              <w:left w:val="single" w:sz="12" w:space="0" w:color="auto"/>
              <w:right w:val="single" w:sz="4" w:space="0" w:color="auto"/>
            </w:tcBorders>
            <w:vAlign w:val="center"/>
          </w:tcPr>
          <w:p/>
        </w:tc>
        <w:tc>
          <w:tcPr>
            <w:tcW w:w="2070" w:type="dxa"/>
            <w:gridSpan w:val="2"/>
            <w:tcBorders>
              <w:top w:val="single" w:sz="4" w:space="0" w:color="auto"/>
              <w:left w:val="single" w:sz="4" w:space="0" w:color="auto"/>
              <w:right w:val="single" w:sz="4" w:space="0" w:color="auto"/>
            </w:tcBorders>
            <w:vAlign w:val="center"/>
          </w:tcPr>
          <w:p>
            <w:pPr>
              <w:pStyle w:val="225"/>
              <w:spacing w:line="300" w:lineRule="exact"/>
              <w:jc w:val="center"/>
              <w:rPr>
                <w:rFonts w:eastAsia="方正仿宋_GBK"/>
                <w:szCs w:val="21"/>
              </w:rPr>
            </w:pPr>
            <w:r>
              <w:rPr>
                <w:rFonts w:eastAsia="方正仿宋_GBK"/>
                <w:szCs w:val="21"/>
              </w:rPr>
              <w:t>非正常情况施工</w:t>
            </w:r>
          </w:p>
        </w:tc>
        <w:tc>
          <w:tcPr>
            <w:tcW w:w="6645" w:type="dxa"/>
            <w:tcBorders>
              <w:top w:val="single" w:sz="4" w:space="0" w:color="auto"/>
              <w:left w:val="single" w:sz="4" w:space="0" w:color="auto"/>
              <w:right w:val="single" w:sz="12" w:space="0" w:color="auto"/>
            </w:tcBorders>
            <w:vAlign w:val="center"/>
          </w:tcPr>
          <w:p>
            <w:pPr>
              <w:pStyle w:val="225"/>
              <w:spacing w:line="300" w:lineRule="exact"/>
              <w:rPr>
                <w:rFonts w:eastAsia="方正仿宋_GBK"/>
                <w:szCs w:val="21"/>
              </w:rPr>
            </w:pPr>
            <w:r>
              <w:rPr>
                <w:rFonts w:eastAsia="方正仿宋_GBK"/>
                <w:szCs w:val="21"/>
              </w:rPr>
              <w:t>其它特殊情况下的防护费用，如：城市主干道、人流密集、河边等处施工及文物、古建筑、古树保护等。</w:t>
            </w:r>
          </w:p>
        </w:tc>
      </w:tr>
    </w:tbl>
    <w:p>
      <w:pPr>
        <w:pStyle w:val="31"/>
        <w:tabs>
          <w:tab w:val="left" w:pos="2127"/>
        </w:tabs>
        <w:spacing w:line="340" w:lineRule="exact"/>
        <w:rPr>
          <w:rFonts w:ascii="Times New Roman" w:cs="Times New Roman" w:hAnsi="Times New Roman"/>
        </w:rPr>
      </w:pPr>
      <w:r>
        <w:rPr>
          <w:rFonts w:ascii="Times New Roman" w:eastAsia="方正仿宋_GBK" w:cs="Times New Roman" w:hAnsi="Times New Roman"/>
        </w:rPr>
        <w:t>注：本表所列建设工程安全文明施工费，是依据现行法律法规及标准、规范确定的。如法律法规和标准、规范修订，本表所列项目应按照修订后的法律法规和标准规范进行调整。</w:t>
      </w:r>
    </w:p>
    <w:p>
      <w:pPr>
        <w:snapToGrid w:val="0"/>
        <w:spacing w:before="50" w:afterLines="50" w:after="120"/>
        <w:jc w:val="left"/>
        <w:rPr>
          <w:szCs w:val="21"/>
        </w:rPr>
      </w:pPr>
      <w:r>
        <w:br w:type="page"/>
      </w:r>
    </w:p>
    <w:p>
      <w:pPr>
        <w:snapToGrid w:val="0"/>
        <w:spacing w:before="50" w:afterLines="50" w:after="120"/>
        <w:jc w:val="left"/>
        <w:rPr>
          <w:szCs w:val="21"/>
        </w:rPr>
      </w:pPr>
      <w:r>
        <w:rPr>
          <w:rFonts w:hint="eastAsia"/>
          <w:szCs w:val="21"/>
        </w:rPr>
        <w:t>9</w:t>
      </w:r>
      <w:r>
        <w:rPr>
          <w:szCs w:val="21"/>
        </w:rPr>
        <w:t>.本工程拟投入列入</w:t>
      </w:r>
      <w:r>
        <w:rPr>
          <w:rFonts w:hint="eastAsia"/>
          <w:szCs w:val="21"/>
        </w:rPr>
        <w:t>节能产品政府采购品目清单及环境标志产品政府采购品目清单的货物清单</w:t>
      </w:r>
      <w:r>
        <w:rPr>
          <w:szCs w:val="21"/>
        </w:rPr>
        <w:t>。</w:t>
      </w:r>
      <w:r>
        <w:rPr>
          <w:rFonts w:hint="eastAsia"/>
          <w:b/>
          <w:szCs w:val="21"/>
        </w:rPr>
        <w:t>（如有，须提供）</w:t>
      </w:r>
    </w:p>
    <w:p>
      <w:pPr>
        <w:snapToGrid w:val="0"/>
        <w:spacing w:before="50" w:afterLines="50" w:after="120"/>
        <w:jc w:val="left"/>
        <w:rPr>
          <w:szCs w:val="21"/>
        </w:rPr>
      </w:pPr>
      <w:bookmarkStart w:id="142" w:name="_Hlk89190963"/>
      <w:r>
        <w:rPr>
          <w:rFonts w:hint="eastAsia"/>
          <w:szCs w:val="21"/>
        </w:rPr>
        <w:t>9</w:t>
      </w:r>
      <w:r>
        <w:rPr>
          <w:szCs w:val="21"/>
        </w:rPr>
        <w:t>.1</w:t>
      </w:r>
      <w:r>
        <w:rPr>
          <w:rFonts w:hint="eastAsia"/>
          <w:szCs w:val="21"/>
        </w:rPr>
        <w:t>建筑材料和设备节能环保要求承诺书</w:t>
      </w:r>
    </w:p>
    <w:p>
      <w:pPr>
        <w:spacing w:line="520" w:lineRule="exact"/>
        <w:ind w:left="-10" w:firstLineChars="217" w:firstLine="456"/>
        <w:jc w:val="left"/>
      </w:pPr>
      <w:r>
        <w:rPr>
          <w:rFonts w:hint="eastAsia"/>
        </w:rPr>
        <w:t>我方承诺，一旦中标，我方保证严格执行</w:t>
      </w:r>
      <w:r>
        <w:rPr>
          <w:rFonts w:cs="宋体" w:hint="eastAsia"/>
        </w:rPr>
        <w:t>《</w:t>
      </w:r>
      <w:r>
        <w:rPr>
          <w:rFonts w:ascii="宋体" w:hint="eastAsia"/>
        </w:rPr>
        <w:t>财政部 国家发展改革委关于印发《节能产品政府采购实施意见》的通知</w:t>
      </w:r>
      <w:r>
        <w:rPr>
          <w:rFonts w:cs="宋体" w:hint="eastAsia"/>
        </w:rPr>
        <w:t>》</w:t>
      </w:r>
      <w:r>
        <w:rPr>
          <w:rFonts w:ascii="宋体" w:hint="eastAsia"/>
        </w:rPr>
        <w:t>（财库〔2004〕185号）、</w:t>
      </w:r>
      <w:r>
        <w:rPr>
          <w:rFonts w:cs="宋体" w:hint="eastAsia"/>
        </w:rPr>
        <w:t>《财政部 发展改革委 生态环境部 市场监管总局关于调整优化节能产品、环境标志产品政府采购执行机制的通知》（财库〔2019〕9号）和《关于印发节能产品政府采购品目清单的通知》（财库〔2019〕19号）的规定，所有工程中涉及的建筑材料和设备如属于财库〔2019〕19号文中《节能产品政府采购品目清单》内标注“★”的产品，都使用政府强制采购的节能产品。</w:t>
      </w:r>
      <w:r>
        <w:t>如我方在该项目的承包中出现未按规定执行的情形，我方愿意按照相关规定接受建设单位及有关主管部门的处罚。</w:t>
      </w:r>
    </w:p>
    <w:p>
      <w:pPr>
        <w:spacing w:line="520" w:lineRule="exact"/>
        <w:ind w:left="-10" w:firstLineChars="217" w:firstLine="456"/>
        <w:jc w:val="left"/>
      </w:pPr>
    </w:p>
    <w:p>
      <w:pPr>
        <w:tabs>
          <w:tab w:val="left" w:pos="4860"/>
        </w:tabs>
        <w:spacing w:line="360" w:lineRule="auto"/>
        <w:ind w:right="1560" w:firstLineChars="200" w:firstLine="444"/>
        <w:contextualSpacing/>
        <w:jc w:val="right"/>
        <w:rPr>
          <w:rFonts w:ascii="宋体" w:hint="eastAsia"/>
          <w:spacing w:val="6"/>
        </w:rPr>
      </w:pPr>
      <w:r>
        <w:rPr>
          <w:rFonts w:ascii="宋体" w:hint="eastAsia"/>
          <w:spacing w:val="6"/>
        </w:rPr>
        <w:t xml:space="preserve">                        单位名称（盖法人单位电子印章）：</w:t>
      </w:r>
    </w:p>
    <w:p>
      <w:pPr>
        <w:wordWrap w:val="0"/>
        <w:ind w:firstLineChars="200" w:firstLine="444"/>
        <w:jc w:val="right"/>
        <w:rPr>
          <w:rFonts w:ascii="宋体" w:hint="eastAsia"/>
          <w:spacing w:val="6"/>
        </w:rPr>
      </w:pPr>
      <w:r>
        <w:rPr>
          <w:rFonts w:ascii="宋体" w:hint="eastAsia"/>
          <w:spacing w:val="6"/>
        </w:rPr>
        <w:t xml:space="preserve">                                     日  期： </w:t>
      </w:r>
      <w:r>
        <w:rPr>
          <w:rFonts w:ascii="宋体"/>
          <w:spacing w:val="6"/>
        </w:rPr>
        <w:t xml:space="preserve">            </w:t>
      </w:r>
    </w:p>
    <w:p>
      <w:pPr>
        <w:snapToGrid w:val="0"/>
        <w:spacing w:before="50" w:afterLines="50" w:after="120"/>
        <w:jc w:val="left"/>
        <w:rPr>
          <w:szCs w:val="21"/>
        </w:rPr>
      </w:pPr>
    </w:p>
    <w:p>
      <w:pPr>
        <w:snapToGrid w:val="0"/>
        <w:spacing w:before="50" w:afterLines="50" w:after="120"/>
        <w:jc w:val="left"/>
        <w:rPr>
          <w:szCs w:val="21"/>
        </w:rPr>
      </w:pPr>
      <w:r>
        <w:rPr>
          <w:rFonts w:hint="eastAsia"/>
          <w:szCs w:val="21"/>
        </w:rPr>
        <w:t>9</w:t>
      </w:r>
      <w:r>
        <w:rPr>
          <w:szCs w:val="21"/>
        </w:rPr>
        <w:t>.2</w:t>
      </w:r>
      <w:r>
        <w:rPr>
          <w:rFonts w:hint="eastAsia"/>
          <w:szCs w:val="21"/>
        </w:rPr>
        <w:t>响应产品中如有列入节能产品政府采购品目清单及环境标志产品政府采购品目清单的货物，应按下表提供清单。</w:t>
      </w:r>
    </w:p>
    <w:p>
      <w:pPr>
        <w:spacing w:line="360" w:lineRule="auto"/>
        <w:jc w:val="center"/>
        <w:rPr>
          <w:szCs w:val="21"/>
        </w:rPr>
      </w:pPr>
      <w:r>
        <w:rPr>
          <w:rFonts w:hint="eastAsia"/>
          <w:b/>
          <w:szCs w:val="21"/>
        </w:rPr>
        <w:t>节能产品及环境标志产品清单</w:t>
      </w:r>
    </w:p>
    <w:tbl>
      <w:tblPr>
        <w:jc w:val="center"/>
        <w:tblW w:w="9328" w:type="dxa"/>
        <w:tblBorders>
          <w:top w:val="outset" w:sz="6" w:space="0" w:color="auto"/>
          <w:left w:val="outset" w:sz="6" w:space="0" w:color="auto"/>
          <w:bottom w:val="outset" w:sz="6" w:space="0" w:color="auto"/>
          <w:right w:val="outset" w:sz="6" w:space="0" w:color="auto"/>
        </w:tblBorders>
        <w:tblLayout w:type="fixed"/>
        <w:tblCellMar>
          <w:top w:w="0" w:type="dxa"/>
          <w:left w:w="0" w:type="dxa"/>
          <w:bottom w:w="0" w:type="dxa"/>
          <w:right w:w="0" w:type="dxa"/>
        </w:tblCellMar>
      </w:tblPr>
      <w:tblGrid>
        <w:gridCol w:w="767"/>
        <w:gridCol w:w="1134"/>
        <w:gridCol w:w="897"/>
        <w:gridCol w:w="1088"/>
        <w:gridCol w:w="1409"/>
        <w:gridCol w:w="1851"/>
        <w:gridCol w:w="1412"/>
        <w:gridCol w:w="770"/>
      </w:tblGrid>
      <w:tr>
        <w:trPr>
          <w:trHeight w:val="454"/>
        </w:trPr>
        <w:tc>
          <w:tcPr>
            <w:tcW w:w="767" w:type="dxa"/>
            <w:tcBorders>
              <w:top w:val="single" w:sz="12" w:space="0" w:color="auto"/>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序号</w:t>
            </w:r>
          </w:p>
        </w:tc>
        <w:tc>
          <w:tcPr>
            <w:tcW w:w="1134" w:type="dxa"/>
            <w:tcBorders>
              <w:top w:val="single" w:sz="12" w:space="0" w:color="auto"/>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hint="eastAsia"/>
                <w:kern w:val="0"/>
                <w:szCs w:val="21"/>
              </w:rPr>
              <w:t>类别</w:t>
            </w:r>
          </w:p>
        </w:tc>
        <w:tc>
          <w:tcPr>
            <w:tcW w:w="897" w:type="dxa"/>
            <w:tcBorders>
              <w:top w:val="single" w:sz="12" w:space="0" w:color="auto"/>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r>
              <w:rPr>
                <w:rFonts w:hint="eastAsia"/>
                <w:kern w:val="0"/>
                <w:szCs w:val="21"/>
              </w:rPr>
              <w:t>品目</w:t>
            </w:r>
          </w:p>
        </w:tc>
        <w:tc>
          <w:tcPr>
            <w:tcW w:w="1088" w:type="dxa"/>
            <w:tcBorders>
              <w:top w:val="single" w:sz="12" w:space="0" w:color="auto"/>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hint="eastAsia"/>
                <w:kern w:val="0"/>
                <w:szCs w:val="21"/>
              </w:rPr>
              <w:t>品牌</w:t>
            </w:r>
          </w:p>
        </w:tc>
        <w:tc>
          <w:tcPr>
            <w:tcW w:w="1409" w:type="dxa"/>
            <w:tcBorders>
              <w:top w:val="single" w:sz="12" w:space="0" w:color="auto"/>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r>
              <w:rPr>
                <w:kern w:val="0"/>
                <w:szCs w:val="21"/>
              </w:rPr>
              <w:t>规格型号</w:t>
            </w:r>
          </w:p>
        </w:tc>
        <w:tc>
          <w:tcPr>
            <w:tcW w:w="1851" w:type="dxa"/>
            <w:tcBorders>
              <w:top w:val="single" w:sz="12" w:space="0" w:color="auto"/>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ascii="Helvetica" w:cs="Helvetica" w:hAnsi="Helvetica"/>
                <w:szCs w:val="21"/>
                <w:shd w:val="clear" w:color="auto" w:fill="FFFFFF"/>
              </w:rPr>
              <w:t>生产者（制造商）</w:t>
            </w:r>
          </w:p>
        </w:tc>
        <w:tc>
          <w:tcPr>
            <w:tcW w:w="1412" w:type="dxa"/>
            <w:tcBorders>
              <w:top w:val="single" w:sz="12" w:space="0" w:color="auto"/>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rFonts w:hint="eastAsia"/>
                <w:kern w:val="0"/>
                <w:szCs w:val="21"/>
              </w:rPr>
              <w:t>证书编号及证书到期日期</w:t>
            </w:r>
          </w:p>
        </w:tc>
        <w:tc>
          <w:tcPr>
            <w:tcW w:w="770" w:type="dxa"/>
            <w:tcBorders>
              <w:top w:val="single" w:sz="12" w:space="0" w:color="auto"/>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备注</w:t>
            </w:r>
          </w:p>
        </w:tc>
      </w:tr>
      <w:tr>
        <w:trPr>
          <w:trHeight w:val="233"/>
        </w:trPr>
        <w:tc>
          <w:tcPr>
            <w:tcW w:w="767" w:type="dxa"/>
            <w:tcBorders>
              <w:top w:val="nil"/>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1</w:t>
            </w:r>
          </w:p>
        </w:tc>
        <w:tc>
          <w:tcPr>
            <w:tcW w:w="1134"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897"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088"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09"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851"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12"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770" w:type="dxa"/>
            <w:tcBorders>
              <w:top w:val="nil"/>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r>
      <w:tr>
        <w:trPr>
          <w:trHeight w:val="281"/>
        </w:trPr>
        <w:tc>
          <w:tcPr>
            <w:tcW w:w="767" w:type="dxa"/>
            <w:tcBorders>
              <w:top w:val="nil"/>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2</w:t>
            </w:r>
          </w:p>
        </w:tc>
        <w:tc>
          <w:tcPr>
            <w:tcW w:w="1134"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897"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088"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09"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851"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12"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770" w:type="dxa"/>
            <w:tcBorders>
              <w:top w:val="nil"/>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r>
      <w:tr>
        <w:trPr>
          <w:trHeight w:val="300"/>
        </w:trPr>
        <w:tc>
          <w:tcPr>
            <w:tcW w:w="767" w:type="dxa"/>
            <w:tcBorders>
              <w:top w:val="nil"/>
              <w:left w:val="single" w:sz="12" w:space="0" w:color="auto"/>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r>
              <w:rPr>
                <w:kern w:val="0"/>
                <w:szCs w:val="21"/>
              </w:rPr>
              <w:t>……</w:t>
            </w:r>
          </w:p>
        </w:tc>
        <w:tc>
          <w:tcPr>
            <w:tcW w:w="1134"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897"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088" w:type="dxa"/>
            <w:tcBorders>
              <w:top w:val="nil"/>
              <w:left w:val="nil"/>
              <w:bottom w:val="single" w:sz="8" w:space="0" w:color="auto"/>
              <w:right w:val="single" w:sz="4"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09" w:type="dxa"/>
            <w:tcBorders>
              <w:top w:val="nil"/>
              <w:left w:val="single" w:sz="4" w:space="0" w:color="auto"/>
              <w:bottom w:val="single" w:sz="8" w:space="0" w:color="auto"/>
              <w:right w:val="single" w:sz="8" w:space="0" w:color="auto"/>
            </w:tcBorders>
            <w:vAlign w:val="center"/>
          </w:tcPr>
          <w:p>
            <w:pPr>
              <w:widowControl/>
              <w:spacing w:before="100" w:beforeAutospacing="1" w:after="100" w:afterAutospacing="1" w:line="376" w:lineRule="atLeast"/>
              <w:jc w:val="center"/>
              <w:rPr>
                <w:kern w:val="0"/>
                <w:szCs w:val="21"/>
              </w:rPr>
            </w:pPr>
          </w:p>
        </w:tc>
        <w:tc>
          <w:tcPr>
            <w:tcW w:w="1851"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1412" w:type="dxa"/>
            <w:tcBorders>
              <w:top w:val="nil"/>
              <w:left w:val="nil"/>
              <w:bottom w:val="single" w:sz="8" w:space="0" w:color="auto"/>
              <w:right w:val="single" w:sz="8"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c>
          <w:tcPr>
            <w:tcW w:w="770" w:type="dxa"/>
            <w:tcBorders>
              <w:top w:val="nil"/>
              <w:left w:val="nil"/>
              <w:bottom w:val="single" w:sz="8" w:space="0" w:color="auto"/>
              <w:right w:val="single" w:sz="12" w:space="0" w:color="auto"/>
            </w:tcBorders>
            <w:tcMar>
              <w:left w:w="57" w:type="dxa"/>
              <w:right w:w="57" w:type="dxa"/>
            </w:tcMar>
            <w:vAlign w:val="center"/>
          </w:tcPr>
          <w:p>
            <w:pPr>
              <w:widowControl/>
              <w:spacing w:before="100" w:beforeAutospacing="1" w:after="100" w:afterAutospacing="1" w:line="376" w:lineRule="atLeast"/>
              <w:jc w:val="center"/>
              <w:rPr>
                <w:kern w:val="0"/>
                <w:szCs w:val="21"/>
              </w:rPr>
            </w:pPr>
          </w:p>
        </w:tc>
      </w:tr>
    </w:tbl>
    <w:p>
      <w:pPr>
        <w:snapToGrid w:val="0"/>
        <w:spacing w:before="50" w:afterLines="50" w:after="120"/>
        <w:jc w:val="left"/>
        <w:rPr>
          <w:szCs w:val="21"/>
        </w:rPr>
      </w:pPr>
      <w:r>
        <w:rPr>
          <w:rFonts w:hint="eastAsia"/>
          <w:szCs w:val="21"/>
        </w:rPr>
        <w:t>注：类别填写节能或环境标志，品目填写编号及产品名称如A</w:t>
      </w:r>
      <w:r>
        <w:rPr>
          <w:szCs w:val="21"/>
        </w:rPr>
        <w:t>02010104</w:t>
      </w:r>
      <w:r>
        <w:rPr>
          <w:rFonts w:hint="eastAsia"/>
          <w:szCs w:val="21"/>
        </w:rPr>
        <w:t>台式计算机。</w:t>
      </w:r>
    </w:p>
    <w:p>
      <w:pPr>
        <w:snapToGrid w:val="0"/>
        <w:spacing w:before="50" w:afterLines="50" w:after="120"/>
        <w:jc w:val="left"/>
        <w:rPr>
          <w:szCs w:val="21"/>
        </w:rPr>
      </w:pPr>
      <w:bookmarkEnd w:id="142"/>
    </w:p>
    <w:p>
      <w:pPr>
        <w:snapToGrid w:val="0"/>
        <w:spacing w:before="50" w:afterLines="50" w:after="120"/>
        <w:jc w:val="left"/>
        <w:rPr>
          <w:szCs w:val="21"/>
        </w:rPr>
      </w:pPr>
    </w:p>
    <w:p>
      <w:pPr>
        <w:snapToGrid w:val="0"/>
        <w:spacing w:before="50" w:afterLines="50" w:after="120"/>
        <w:jc w:val="left"/>
        <w:rPr>
          <w:szCs w:val="21"/>
        </w:rPr>
      </w:pPr>
    </w:p>
    <w:p>
      <w:pPr>
        <w:snapToGrid w:val="0"/>
        <w:spacing w:before="50" w:afterLines="50" w:after="120" w:line="440" w:lineRule="exact"/>
        <w:jc w:val="left"/>
        <w:rPr>
          <w:b/>
        </w:rPr>
      </w:pPr>
      <w:r>
        <w:br w:type="page"/>
      </w:r>
      <w:r>
        <w:rPr>
          <w:rFonts w:hint="eastAsia"/>
        </w:rPr>
        <w:t>10</w:t>
      </w:r>
      <w:r>
        <w:t>．</w:t>
      </w:r>
      <w:r>
        <w:rPr>
          <w:rFonts w:hint="eastAsia"/>
          <w:szCs w:val="21"/>
        </w:rPr>
        <w:t>磋商</w:t>
      </w:r>
      <w:r>
        <w:rPr>
          <w:szCs w:val="21"/>
        </w:rPr>
        <w:t>保证金缴纳证明</w:t>
      </w:r>
      <w:r>
        <w:rPr>
          <w:rFonts w:hint="eastAsia"/>
          <w:szCs w:val="21"/>
        </w:rPr>
        <w:t>。</w:t>
      </w:r>
      <w:r>
        <w:rPr>
          <w:rFonts w:hint="eastAsia"/>
          <w:b/>
        </w:rPr>
        <w:t>（如采购文件有要求时提供）</w:t>
      </w:r>
    </w:p>
    <w:p>
      <w:pPr>
        <w:snapToGrid w:val="0"/>
        <w:spacing w:before="50" w:afterLines="50" w:after="120"/>
        <w:jc w:val="left"/>
      </w:pPr>
      <w:r>
        <w:rPr>
          <w:rFonts w:hint="eastAsia"/>
        </w:rPr>
        <w:t>（1）以转账、电汇形式缴纳的，提供转账、电汇凭证</w:t>
      </w:r>
      <w:r>
        <w:rPr>
          <w:rFonts w:hint="eastAsia"/>
          <w:lang w:eastAsia="zh-CN"/>
        </w:rPr>
        <w:t>复印件</w:t>
      </w:r>
      <w:r>
        <w:rPr>
          <w:rFonts w:hint="eastAsia"/>
        </w:rPr>
        <w:t>或复印件（网银可提供截图）加盖供应商公章；</w:t>
      </w:r>
    </w:p>
    <w:p>
      <w:pPr>
        <w:snapToGrid w:val="0"/>
        <w:spacing w:before="50" w:afterLines="50" w:after="120"/>
        <w:jc w:val="left"/>
      </w:pPr>
      <w:r>
        <w:rPr>
          <w:rFonts w:hint="eastAsia"/>
        </w:rPr>
        <w:t>（2）</w:t>
      </w:r>
      <w:bookmarkStart w:id="143" w:name="_Hlk176360876"/>
      <w:r>
        <w:rPr>
          <w:rFonts w:hint="eastAsia"/>
        </w:rPr>
        <w:t>以支票、汇票、本票或金融机构、担保机构出具的保函等非现金形式缴纳的，提供原件</w:t>
      </w:r>
      <w:r>
        <w:rPr>
          <w:rFonts w:hint="eastAsia"/>
          <w:lang w:eastAsia="zh-CN"/>
        </w:rPr>
        <w:t>复印件</w:t>
      </w:r>
      <w:r>
        <w:rPr>
          <w:rFonts w:hint="eastAsia"/>
        </w:rPr>
        <w:t>或复印件并加盖供应商公章。</w:t>
      </w:r>
      <w:bookmarkEnd w:id="143"/>
      <w:r>
        <w:rPr>
          <w:rFonts w:hint="eastAsia"/>
        </w:rPr>
        <w:t>响应保函参考如下格式开具：</w:t>
      </w:r>
    </w:p>
    <w:p>
      <w:pPr>
        <w:spacing w:line="360" w:lineRule="auto"/>
        <w:jc w:val="center"/>
        <w:rPr>
          <w:b/>
          <w:bCs/>
          <w:sz w:val="28"/>
          <w:szCs w:val="36"/>
        </w:rPr>
      </w:pPr>
    </w:p>
    <w:p>
      <w:pPr>
        <w:spacing w:line="360" w:lineRule="auto"/>
        <w:jc w:val="center"/>
        <w:rPr>
          <w:b/>
          <w:bCs/>
          <w:sz w:val="28"/>
          <w:szCs w:val="36"/>
        </w:rPr>
      </w:pPr>
      <w:r>
        <w:rPr>
          <w:rFonts w:hint="eastAsia"/>
          <w:b/>
          <w:bCs/>
          <w:sz w:val="28"/>
          <w:szCs w:val="36"/>
        </w:rPr>
        <w:t>响应保函格式</w:t>
      </w:r>
    </w:p>
    <w:p>
      <w:pPr>
        <w:snapToGrid w:val="0"/>
        <w:spacing w:before="50" w:afterLines="50" w:after="120"/>
        <w:jc w:val="left"/>
      </w:pPr>
      <w:r>
        <w:rPr>
          <w:rFonts w:hint="eastAsia"/>
        </w:rPr>
        <w:t xml:space="preserve">编号：           </w:t>
      </w:r>
    </w:p>
    <w:p>
      <w:pPr>
        <w:snapToGrid w:val="0"/>
        <w:spacing w:before="50" w:afterLines="50" w:after="120"/>
        <w:jc w:val="left"/>
      </w:pPr>
      <w:r>
        <w:rPr>
          <w:rFonts w:hint="eastAsia"/>
        </w:rPr>
        <w:t>申请人：</w:t>
      </w:r>
    </w:p>
    <w:p>
      <w:pPr>
        <w:snapToGrid w:val="0"/>
        <w:spacing w:before="50" w:afterLines="50" w:after="120"/>
        <w:jc w:val="left"/>
      </w:pPr>
      <w:r>
        <w:rPr>
          <w:rFonts w:hint="eastAsia"/>
        </w:rPr>
        <w:t>地址：</w:t>
      </w:r>
    </w:p>
    <w:p>
      <w:pPr>
        <w:snapToGrid w:val="0"/>
        <w:spacing w:before="50" w:afterLines="50" w:after="120"/>
        <w:jc w:val="left"/>
      </w:pPr>
      <w:r>
        <w:rPr>
          <w:rFonts w:hint="eastAsia"/>
        </w:rPr>
        <w:t>受益人：</w:t>
      </w:r>
      <w:r>
        <w:rPr>
          <w:rFonts w:hint="eastAsia"/>
          <w:lang w:eastAsia="zh-CN"/>
        </w:rPr>
        <w:t>广西桂工建设管理咨询有限公司</w:t>
      </w:r>
      <w:r>
        <w:rPr>
          <w:rFonts w:hint="eastAsia"/>
        </w:rPr>
        <w:t xml:space="preserve"> </w:t>
      </w:r>
    </w:p>
    <w:p>
      <w:pPr>
        <w:snapToGrid w:val="0"/>
        <w:spacing w:before="50" w:afterLines="50" w:after="120"/>
        <w:jc w:val="left"/>
      </w:pPr>
      <w:r>
        <w:rPr>
          <w:rFonts w:hint="eastAsia"/>
        </w:rPr>
        <w:t>地址：</w:t>
      </w:r>
    </w:p>
    <w:p>
      <w:pPr>
        <w:snapToGrid w:val="0"/>
        <w:spacing w:before="50" w:afterLines="50" w:after="120"/>
        <w:jc w:val="left"/>
      </w:pPr>
      <w:r>
        <w:rPr>
          <w:rFonts w:hint="eastAsia"/>
        </w:rPr>
        <w:t>开立人：</w:t>
      </w:r>
    </w:p>
    <w:p>
      <w:pPr>
        <w:snapToGrid w:val="0"/>
        <w:spacing w:before="50" w:afterLines="50" w:after="120"/>
        <w:jc w:val="left"/>
      </w:pPr>
      <w:r>
        <w:rPr>
          <w:rFonts w:hint="eastAsia"/>
        </w:rPr>
        <w:t>地址：</w:t>
      </w:r>
    </w:p>
    <w:p>
      <w:pPr>
        <w:snapToGrid w:val="0"/>
        <w:spacing w:before="50" w:afterLines="50" w:after="120" w:line="440" w:lineRule="exact"/>
        <w:jc w:val="left"/>
      </w:pPr>
    </w:p>
    <w:p>
      <w:pPr>
        <w:snapToGrid w:val="0"/>
        <w:spacing w:before="50" w:afterLines="50" w:after="120" w:line="276" w:lineRule="auto"/>
        <w:jc w:val="left"/>
        <w:rPr>
          <w:rFonts w:eastAsia="宋体" w:hint="eastAsia"/>
          <w:lang w:eastAsia="zh-CN"/>
        </w:rPr>
      </w:pPr>
      <w:r>
        <w:rPr>
          <w:rFonts w:hint="eastAsia"/>
        </w:rPr>
        <w:t>致：</w:t>
      </w:r>
      <w:r>
        <w:rPr>
          <w:rFonts w:hint="eastAsia"/>
          <w:lang w:eastAsia="zh-CN"/>
        </w:rPr>
        <w:t>广西桂工建设管理咨询有限公司</w:t>
      </w:r>
    </w:p>
    <w:p>
      <w:pPr>
        <w:snapToGrid w:val="0"/>
        <w:spacing w:before="50" w:afterLines="50" w:after="120" w:line="276" w:lineRule="auto"/>
        <w:ind w:firstLineChars="200" w:firstLine="420"/>
        <w:jc w:val="left"/>
      </w:pPr>
      <w:r>
        <w:rPr>
          <w:rFonts w:hint="eastAsia"/>
        </w:rPr>
        <w:t>我方（即“开立人”）已获得通知，本保函申请人（即“供应商”）已响应贵方于</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 xml:space="preserve"> 日就 </w:t>
      </w:r>
      <w:r>
        <w:rPr>
          <w:rFonts w:hint="eastAsia"/>
          <w:u w:val="single"/>
        </w:rPr>
        <w:t xml:space="preserve">                                          </w:t>
      </w:r>
      <w:r>
        <w:rPr>
          <w:rFonts w:hint="eastAsia"/>
        </w:rPr>
        <w:t>（以下简称“本项目”）发出的磋商文件，并已向采购代理机构（即“受益人”）提交了投标文件。</w:t>
      </w:r>
    </w:p>
    <w:p>
      <w:pPr>
        <w:snapToGrid w:val="0"/>
        <w:spacing w:before="50" w:afterLines="50" w:after="120" w:line="276" w:lineRule="auto"/>
        <w:ind w:firstLineChars="200" w:firstLine="420"/>
        <w:jc w:val="left"/>
      </w:pPr>
      <w:r>
        <w:rPr>
          <w:rFonts w:hint="eastAsia"/>
        </w:rPr>
        <w:t>一、我方理解根据招标条件，投标人必须提交一份投标保函（以下简称“本保函”），以担保供应商诚信履行其在采购活动中承担的义务。鉴此，应申请人要求，我方在此同意向贵方出具此投标保函，本保函担保金额为人民币（大写）</w:t>
      </w:r>
      <w:r>
        <w:rPr>
          <w:rFonts w:hint="eastAsia"/>
          <w:u w:val="single"/>
        </w:rPr>
        <w:t xml:space="preserve">                    </w:t>
      </w:r>
      <w:r>
        <w:rPr>
          <w:rFonts w:hint="eastAsia"/>
        </w:rPr>
        <w:t>元（¥</w:t>
      </w:r>
      <w:r>
        <w:rPr>
          <w:rFonts w:hint="eastAsia"/>
          <w:u w:val="single"/>
        </w:rPr>
        <w:t xml:space="preserve">                    </w:t>
      </w:r>
      <w:r>
        <w:rPr>
          <w:rFonts w:hint="eastAsia"/>
        </w:rPr>
        <w:t>）。</w:t>
      </w:r>
    </w:p>
    <w:p>
      <w:pPr>
        <w:snapToGrid w:val="0"/>
        <w:spacing w:before="50" w:afterLines="50" w:after="120" w:line="276" w:lineRule="auto"/>
        <w:ind w:firstLineChars="200" w:firstLine="420"/>
        <w:jc w:val="left"/>
      </w:pPr>
      <w:r>
        <w:rPr>
          <w:rFonts w:hint="eastAsia"/>
        </w:rPr>
        <w:t xml:space="preserve">二、我方在供应商发生以下情形时承担保证担保责任： </w:t>
      </w:r>
    </w:p>
    <w:p>
      <w:pPr>
        <w:snapToGrid w:val="0"/>
        <w:spacing w:before="50" w:afterLines="50" w:after="120" w:line="276" w:lineRule="auto"/>
        <w:ind w:firstLineChars="200" w:firstLine="420"/>
        <w:jc w:val="left"/>
      </w:pPr>
      <w:r>
        <w:rPr>
          <w:rFonts w:hint="eastAsia"/>
        </w:rPr>
        <w:t xml:space="preserve">（1）投标人在开标后和投标有效期满之前撤销投标文件的； </w:t>
      </w:r>
    </w:p>
    <w:p>
      <w:pPr>
        <w:snapToGrid w:val="0"/>
        <w:spacing w:before="50" w:afterLines="50" w:after="120" w:line="276" w:lineRule="auto"/>
        <w:ind w:firstLineChars="200" w:firstLine="420"/>
        <w:jc w:val="left"/>
      </w:pPr>
      <w:r>
        <w:rPr>
          <w:rFonts w:hint="eastAsia"/>
        </w:rPr>
        <w:t xml:space="preserve">（2）投标人在收到中标通知书后，不能或拒绝按磋商文件规定的时间内与采购人签订合同； </w:t>
      </w:r>
    </w:p>
    <w:p>
      <w:pPr>
        <w:snapToGrid w:val="0"/>
        <w:spacing w:before="50" w:afterLines="50" w:after="120" w:line="276" w:lineRule="auto"/>
        <w:ind w:firstLineChars="200" w:firstLine="420"/>
        <w:jc w:val="left"/>
      </w:pPr>
      <w:r>
        <w:rPr>
          <w:rFonts w:hint="eastAsia"/>
        </w:rPr>
        <w:t>（3）投标人在与采购人签订合同后，未在规定的时间内提交符合磋商文件要求的履约担保；</w:t>
      </w:r>
    </w:p>
    <w:p>
      <w:pPr>
        <w:snapToGrid w:val="0"/>
        <w:spacing w:before="50" w:afterLines="50" w:after="120" w:line="276" w:lineRule="auto"/>
        <w:ind w:firstLineChars="200" w:firstLine="420"/>
        <w:jc w:val="left"/>
      </w:pPr>
      <w:r>
        <w:rPr>
          <w:rFonts w:hint="eastAsia"/>
        </w:rPr>
        <w:t>（4）投标人在中标通知书发出之日起5个工作日内，未缴纳本项目代理服务费的；</w:t>
      </w:r>
    </w:p>
    <w:p>
      <w:pPr>
        <w:snapToGrid w:val="0"/>
        <w:spacing w:before="50" w:afterLines="50" w:after="120" w:line="276" w:lineRule="auto"/>
        <w:ind w:firstLineChars="200" w:firstLine="420"/>
        <w:jc w:val="left"/>
      </w:pPr>
      <w:r>
        <w:rPr>
          <w:rFonts w:hint="eastAsia"/>
        </w:rPr>
        <w:t>（5）投标人违反磋商文件规定的其他情形。</w:t>
      </w:r>
    </w:p>
    <w:p>
      <w:pPr>
        <w:snapToGrid w:val="0"/>
        <w:spacing w:before="50" w:afterLines="50" w:after="120" w:line="276" w:lineRule="auto"/>
        <w:ind w:firstLineChars="100" w:firstLine="210"/>
        <w:jc w:val="left"/>
      </w:pPr>
      <w:r>
        <w:rPr>
          <w:rFonts w:hint="eastAsia"/>
        </w:rPr>
        <w:t xml:space="preserve">    三、本保函为不可撤销、不可转让的见索即付独立保函。本保函有效期自开立之日起至投标有效期届满之日后的</w:t>
      </w:r>
      <w:r>
        <w:rPr>
          <w:rFonts w:hint="eastAsia"/>
          <w:u w:val="single"/>
        </w:rPr>
        <w:t xml:space="preserve">  28  </w:t>
      </w:r>
      <w:r>
        <w:rPr>
          <w:rFonts w:hint="eastAsia"/>
        </w:rPr>
        <w:t>日。投标有效期延长的，本保函有效期相应顺延。</w:t>
      </w:r>
    </w:p>
    <w:p>
      <w:pPr>
        <w:snapToGrid w:val="0"/>
        <w:spacing w:before="50" w:afterLines="50" w:after="120" w:line="276" w:lineRule="auto"/>
        <w:ind w:firstLineChars="200" w:firstLine="420"/>
        <w:jc w:val="left"/>
      </w:pPr>
      <w:r>
        <w:rPr>
          <w:rFonts w:hint="eastAsia"/>
        </w:rPr>
        <w:t>四、我方承诺，在收到受益人发来的书面付款通知后的</w:t>
      </w:r>
      <w:r>
        <w:rPr>
          <w:rFonts w:hint="eastAsia"/>
          <w:u w:val="single"/>
        </w:rPr>
        <w:t xml:space="preserve">   5    </w:t>
      </w:r>
      <w:r>
        <w:rPr>
          <w:rFonts w:hint="eastAsia"/>
        </w:rPr>
        <w:t>日内无条件支付，前述书面付款通知即为付款要求之单据，且应满足以下要求：</w:t>
      </w:r>
    </w:p>
    <w:p>
      <w:pPr>
        <w:snapToGrid w:val="0"/>
        <w:spacing w:before="50" w:afterLines="50" w:after="120" w:line="276" w:lineRule="auto"/>
        <w:ind w:firstLineChars="200" w:firstLine="420"/>
        <w:jc w:val="left"/>
      </w:pPr>
      <w:r>
        <w:rPr>
          <w:rFonts w:hint="eastAsia"/>
        </w:rPr>
        <w:t>（1）付款通知到达的日期在本保函的有效期内；</w:t>
      </w:r>
    </w:p>
    <w:p>
      <w:pPr>
        <w:snapToGrid w:val="0"/>
        <w:spacing w:before="50" w:afterLines="50" w:after="120" w:line="276" w:lineRule="auto"/>
        <w:ind w:firstLineChars="200" w:firstLine="420"/>
        <w:jc w:val="left"/>
      </w:pPr>
      <w:r>
        <w:rPr>
          <w:rFonts w:hint="eastAsia"/>
        </w:rPr>
        <w:t>（2）载明要求支付的金额；</w:t>
      </w:r>
    </w:p>
    <w:p>
      <w:pPr>
        <w:snapToGrid w:val="0"/>
        <w:spacing w:before="50" w:afterLines="50" w:after="120" w:line="276" w:lineRule="auto"/>
        <w:ind w:firstLineChars="200" w:firstLine="420"/>
        <w:jc w:val="left"/>
      </w:pPr>
      <w:r>
        <w:rPr>
          <w:rFonts w:hint="eastAsia"/>
        </w:rPr>
        <w:t>（3）载明申请人违反采购文件规定的义务内容和具体条款；</w:t>
      </w:r>
    </w:p>
    <w:p>
      <w:pPr>
        <w:snapToGrid w:val="0"/>
        <w:spacing w:before="50" w:afterLines="50" w:after="120" w:line="276" w:lineRule="auto"/>
        <w:ind w:firstLineChars="200" w:firstLine="420"/>
        <w:jc w:val="left"/>
      </w:pPr>
      <w:r>
        <w:rPr>
          <w:rFonts w:hint="eastAsia"/>
        </w:rPr>
        <w:t>（4）声明不存在采购文件规定或我国法律规定免除申请人或我方支付责任的情形；</w:t>
      </w:r>
    </w:p>
    <w:p>
      <w:pPr>
        <w:snapToGrid w:val="0"/>
        <w:spacing w:before="50" w:afterLines="50" w:after="120" w:line="276" w:lineRule="auto"/>
        <w:ind w:firstLineChars="200" w:firstLine="420"/>
        <w:jc w:val="left"/>
      </w:pPr>
      <w:r>
        <w:rPr>
          <w:rFonts w:hint="eastAsia"/>
        </w:rPr>
        <w:t>（5）书面付款通知应在本保函有效期内到达的地址是：</w:t>
      </w:r>
      <w:r>
        <w:rPr>
          <w:rFonts w:hint="eastAsia"/>
          <w:u w:val="single"/>
        </w:rPr>
        <w:t xml:space="preserve">                         </w:t>
      </w:r>
      <w:r>
        <w:rPr>
          <w:rFonts w:hint="eastAsia"/>
        </w:rPr>
        <w:t>。</w:t>
      </w:r>
    </w:p>
    <w:p>
      <w:pPr>
        <w:snapToGrid w:val="0"/>
        <w:spacing w:before="50" w:afterLines="50" w:after="120" w:line="276" w:lineRule="auto"/>
        <w:jc w:val="left"/>
      </w:pPr>
      <w:r>
        <w:rPr>
          <w:rFonts w:hint="eastAsia"/>
        </w:rPr>
        <w:t xml:space="preserve">        受益人发出的书面付款通知应由其为鉴明受益人法定代表人（负责人）或授权代理人签字并加盖公章。</w:t>
      </w:r>
    </w:p>
    <w:p>
      <w:pPr>
        <w:snapToGrid w:val="0"/>
        <w:spacing w:before="50" w:afterLines="50" w:after="120" w:line="276" w:lineRule="auto"/>
        <w:ind w:firstLineChars="200" w:firstLine="420"/>
        <w:jc w:val="left"/>
      </w:pPr>
      <w:r>
        <w:rPr>
          <w:rFonts w:hint="eastAsia"/>
        </w:rPr>
        <w:t xml:space="preserve">五、本保函项下的权利不得转让，不得设定担保。贵方未经我方书面同意转让本保函或其项下任何权利，对我方不发生法律效力。 </w:t>
      </w:r>
    </w:p>
    <w:p>
      <w:pPr>
        <w:snapToGrid w:val="0"/>
        <w:spacing w:before="50" w:afterLines="50" w:after="120" w:line="276" w:lineRule="auto"/>
        <w:ind w:firstLineChars="200" w:firstLine="420"/>
        <w:jc w:val="left"/>
      </w:pPr>
      <w:r>
        <w:rPr>
          <w:rFonts w:hint="eastAsia"/>
        </w:rPr>
        <w:t xml:space="preserve">六、本保函项下的基础交易不成立、不生效、无效、被撤销、被解除，不影响本保函的独立有效。 </w:t>
      </w:r>
    </w:p>
    <w:p>
      <w:pPr>
        <w:snapToGrid w:val="0"/>
        <w:spacing w:before="50" w:afterLines="50" w:after="120" w:line="276" w:lineRule="auto"/>
        <w:ind w:firstLineChars="200" w:firstLine="420"/>
        <w:jc w:val="left"/>
      </w:pPr>
      <w:r>
        <w:rPr>
          <w:rFonts w:hint="eastAsia"/>
        </w:rPr>
        <w:t xml:space="preserve">七、受益人应在本保函到期后的七日内将本保函正本退回我方注销，但是不论受益人是否按此要求将本保函正本退回我方，我方在本保函项下的义务和责任均在保函有效期到期后自动消灭。 </w:t>
      </w:r>
    </w:p>
    <w:p>
      <w:pPr>
        <w:snapToGrid w:val="0"/>
        <w:spacing w:before="50" w:afterLines="50" w:after="120" w:line="276" w:lineRule="auto"/>
        <w:ind w:firstLineChars="200" w:firstLine="420"/>
        <w:jc w:val="left"/>
      </w:pPr>
      <w:r>
        <w:rPr>
          <w:rFonts w:hint="eastAsia"/>
        </w:rPr>
        <w:t xml:space="preserve">八、本保函适用的法律为中华人民共和国法律，争议裁判管辖地为中华人民共和国。 </w:t>
      </w:r>
    </w:p>
    <w:p>
      <w:pPr>
        <w:snapToGrid w:val="0"/>
        <w:spacing w:before="50" w:afterLines="50" w:after="120" w:line="276" w:lineRule="auto"/>
        <w:ind w:firstLineChars="200" w:firstLine="420"/>
        <w:jc w:val="left"/>
      </w:pPr>
      <w:r>
        <w:rPr>
          <w:rFonts w:hint="eastAsia"/>
        </w:rPr>
        <w:t xml:space="preserve">九、本保函自我方法定代表人或授权代表签字并加盖公章之日起生效。 </w:t>
      </w:r>
    </w:p>
    <w:p>
      <w:pPr>
        <w:snapToGrid w:val="0"/>
        <w:spacing w:before="50" w:afterLines="50" w:after="120" w:line="276" w:lineRule="auto"/>
        <w:jc w:val="left"/>
      </w:pPr>
    </w:p>
    <w:p>
      <w:pPr>
        <w:snapToGrid w:val="0"/>
        <w:spacing w:before="50" w:afterLines="50" w:after="120" w:line="276" w:lineRule="auto"/>
        <w:jc w:val="left"/>
      </w:pPr>
      <w:r>
        <w:rPr>
          <w:rFonts w:hint="eastAsia"/>
        </w:rPr>
        <w:t xml:space="preserve">开 立 人：                                                  （公章） </w:t>
      </w:r>
    </w:p>
    <w:p>
      <w:pPr>
        <w:snapToGrid w:val="0"/>
        <w:spacing w:before="50" w:afterLines="50" w:after="120" w:line="276" w:lineRule="auto"/>
        <w:jc w:val="left"/>
      </w:pPr>
      <w:r>
        <w:rPr>
          <w:rFonts w:hint="eastAsia"/>
        </w:rPr>
        <w:t xml:space="preserve">法定代表人（或授权代表） ：               （签字） </w:t>
      </w:r>
    </w:p>
    <w:p>
      <w:pPr>
        <w:snapToGrid w:val="0"/>
        <w:spacing w:before="50" w:afterLines="50" w:after="120" w:line="276" w:lineRule="auto"/>
        <w:jc w:val="left"/>
      </w:pPr>
      <w:r>
        <w:rPr>
          <w:rFonts w:hint="eastAsia"/>
        </w:rPr>
        <w:t xml:space="preserve">地    址：                                       </w:t>
      </w:r>
    </w:p>
    <w:p>
      <w:pPr>
        <w:snapToGrid w:val="0"/>
        <w:spacing w:before="50" w:afterLines="50" w:after="120" w:line="276" w:lineRule="auto"/>
        <w:jc w:val="left"/>
      </w:pPr>
      <w:r>
        <w:rPr>
          <w:rFonts w:hint="eastAsia"/>
        </w:rPr>
        <w:t xml:space="preserve">邮政编码：                 </w:t>
      </w:r>
    </w:p>
    <w:p>
      <w:pPr>
        <w:snapToGrid w:val="0"/>
        <w:spacing w:before="50" w:afterLines="50" w:after="120" w:line="276" w:lineRule="auto"/>
        <w:jc w:val="left"/>
      </w:pPr>
      <w:r>
        <w:rPr>
          <w:rFonts w:hint="eastAsia"/>
        </w:rPr>
        <w:t xml:space="preserve">电    话：                 </w:t>
      </w:r>
    </w:p>
    <w:p>
      <w:pPr>
        <w:snapToGrid w:val="0"/>
        <w:spacing w:before="50" w:afterLines="50" w:after="120" w:line="276" w:lineRule="auto"/>
        <w:jc w:val="left"/>
      </w:pPr>
      <w:r>
        <w:rPr>
          <w:rFonts w:hint="eastAsia"/>
        </w:rPr>
        <w:t xml:space="preserve">传    真：                 </w:t>
      </w:r>
    </w:p>
    <w:p>
      <w:pPr>
        <w:snapToGrid w:val="0"/>
        <w:spacing w:before="50" w:afterLines="50" w:after="120" w:line="276" w:lineRule="auto"/>
        <w:jc w:val="left"/>
      </w:pPr>
      <w:r>
        <w:rPr>
          <w:rFonts w:hint="eastAsia"/>
        </w:rPr>
        <w:t>开立时间：      年       月        日</w:t>
      </w:r>
    </w:p>
    <w:p>
      <w:pPr>
        <w:snapToGrid w:val="0"/>
        <w:spacing w:before="50" w:afterLines="50" w:after="120"/>
        <w:jc w:val="left"/>
      </w:pPr>
    </w:p>
    <w:p>
      <w:pPr>
        <w:snapToGrid w:val="0"/>
        <w:spacing w:before="50" w:afterLines="50" w:after="120"/>
        <w:jc w:val="left"/>
      </w:pPr>
    </w:p>
    <w:p>
      <w:pPr>
        <w:snapToGrid w:val="0"/>
        <w:spacing w:before="50" w:afterLines="50" w:after="120"/>
        <w:jc w:val="left"/>
        <w:rPr>
          <w:szCs w:val="21"/>
        </w:rPr>
      </w:pPr>
    </w:p>
    <w:p>
      <w:pPr>
        <w:snapToGrid w:val="0"/>
        <w:spacing w:before="50" w:afterLines="50" w:after="120" w:line="400" w:lineRule="exact"/>
        <w:jc w:val="left"/>
        <w:rPr>
          <w:bCs/>
          <w:sz w:val="24"/>
        </w:rPr>
      </w:pPr>
      <w:r>
        <w:rPr>
          <w:rFonts w:hint="eastAsia"/>
          <w:szCs w:val="21"/>
        </w:rPr>
        <w:br w:type="page"/>
        <w:t>11</w:t>
      </w:r>
      <w:r>
        <w:rPr>
          <w:szCs w:val="21"/>
        </w:rPr>
        <w:t>．供应商认为应当要提交的</w:t>
      </w:r>
      <w:r>
        <w:rPr>
          <w:rFonts w:hint="eastAsia"/>
          <w:szCs w:val="21"/>
        </w:rPr>
        <w:t>其他</w:t>
      </w:r>
      <w:r>
        <w:rPr>
          <w:szCs w:val="21"/>
        </w:rPr>
        <w:t>资格证明材料。</w:t>
      </w:r>
      <w:r>
        <w:rPr>
          <w:bCs/>
          <w:sz w:val="24"/>
        </w:rPr>
        <w:t xml:space="preserve"> </w:t>
      </w:r>
    </w:p>
    <w:p>
      <w:pPr>
        <w:snapToGrid w:val="0"/>
        <w:spacing w:beforeLines="50" w:before="120" w:after="50" w:line="440" w:lineRule="exact"/>
        <w:jc w:val="center"/>
        <w:outlineLvl w:val="1"/>
        <w:rPr>
          <w:bCs/>
          <w:sz w:val="24"/>
        </w:rPr>
      </w:pPr>
      <w:r>
        <w:rPr>
          <w:szCs w:val="21"/>
        </w:rPr>
        <w:br w:type="page"/>
      </w:r>
      <w:r>
        <w:rPr>
          <w:bCs/>
          <w:sz w:val="24"/>
        </w:rPr>
        <w:t xml:space="preserve">第二部分 </w:t>
      </w:r>
      <w:r>
        <w:rPr>
          <w:rFonts w:hint="eastAsia"/>
          <w:bCs/>
          <w:sz w:val="24"/>
        </w:rPr>
        <w:t>商务</w:t>
      </w:r>
      <w:r>
        <w:rPr>
          <w:bCs/>
          <w:sz w:val="24"/>
        </w:rPr>
        <w:t>技术文件</w:t>
      </w:r>
    </w:p>
    <w:p>
      <w:pPr>
        <w:snapToGrid w:val="0"/>
        <w:spacing w:before="50" w:afterLines="50" w:after="120"/>
        <w:jc w:val="left"/>
        <w:rPr>
          <w:szCs w:val="21"/>
        </w:rPr>
      </w:pPr>
      <w:r>
        <w:rPr>
          <w:szCs w:val="21"/>
        </w:rPr>
        <w:t>.供应商可根据采购文件、图纸及对现场的勘察情况，编制施工组织设计，可参考以下提纲，也可自行编制</w:t>
      </w:r>
    </w:p>
    <w:p>
      <w:pPr>
        <w:snapToGrid w:val="0"/>
        <w:spacing w:before="50" w:afterLines="50" w:after="120"/>
        <w:jc w:val="left"/>
        <w:rPr>
          <w:szCs w:val="21"/>
        </w:rPr>
      </w:pPr>
      <w:r>
        <w:rPr>
          <w:szCs w:val="21"/>
        </w:rPr>
        <w:t>施工组织设计编制大纲：</w:t>
      </w:r>
    </w:p>
    <w:p>
      <w:pPr>
        <w:spacing w:line="360" w:lineRule="auto"/>
        <w:ind w:firstLineChars="200" w:firstLine="420"/>
      </w:pPr>
      <w:r>
        <w:rPr>
          <w:rFonts w:hint="eastAsia"/>
        </w:rPr>
        <w:t>（1）概述</w:t>
      </w:r>
    </w:p>
    <w:p>
      <w:pPr>
        <w:spacing w:line="360" w:lineRule="auto"/>
        <w:ind w:firstLineChars="200" w:firstLine="420"/>
      </w:pPr>
      <w:r>
        <w:rPr>
          <w:rFonts w:hint="eastAsia"/>
        </w:rPr>
        <w:t>（2）主要施工方法；</w:t>
      </w:r>
    </w:p>
    <w:p>
      <w:pPr>
        <w:spacing w:line="360" w:lineRule="auto"/>
        <w:ind w:firstLineChars="200" w:firstLine="420"/>
      </w:pPr>
      <w:r>
        <w:rPr>
          <w:rFonts w:hint="eastAsia"/>
        </w:rPr>
        <w:t>（3）拟投入的主要物资计划</w:t>
      </w:r>
    </w:p>
    <w:p>
      <w:pPr>
        <w:spacing w:line="360" w:lineRule="auto"/>
        <w:ind w:firstLineChars="200" w:firstLine="420"/>
      </w:pPr>
      <w:r>
        <w:rPr>
          <w:rFonts w:hint="eastAsia"/>
        </w:rPr>
        <w:t>（4）</w:t>
      </w:r>
      <w:r>
        <w:rPr>
          <w:rFonts w:cs="宋体" w:hint="eastAsia"/>
          <w:kern w:val="0"/>
        </w:rPr>
        <w:t>拟投入的主要施工机械、设备计划</w:t>
      </w:r>
    </w:p>
    <w:p>
      <w:pPr>
        <w:spacing w:line="360" w:lineRule="auto"/>
        <w:ind w:firstLineChars="200" w:firstLine="420"/>
      </w:pPr>
      <w:r>
        <w:rPr>
          <w:rFonts w:hint="eastAsia"/>
        </w:rPr>
        <w:t>（5）劳动力安排计划；</w:t>
      </w:r>
    </w:p>
    <w:p>
      <w:pPr>
        <w:spacing w:line="360" w:lineRule="auto"/>
        <w:ind w:firstLineChars="200" w:firstLine="420"/>
      </w:pPr>
      <w:r>
        <w:rPr>
          <w:rFonts w:hint="eastAsia"/>
        </w:rPr>
        <w:t>（6）确保工程质量的技术组织措施；</w:t>
      </w:r>
    </w:p>
    <w:p>
      <w:pPr>
        <w:spacing w:line="360" w:lineRule="auto"/>
        <w:ind w:firstLineChars="200" w:firstLine="420"/>
      </w:pPr>
      <w:r>
        <w:rPr>
          <w:rFonts w:hint="eastAsia"/>
        </w:rPr>
        <w:t>（7）确保安全生产的技术组织措施；</w:t>
      </w:r>
    </w:p>
    <w:p>
      <w:pPr>
        <w:spacing w:line="360" w:lineRule="auto"/>
        <w:ind w:firstLineChars="200" w:firstLine="420"/>
      </w:pPr>
      <w:r>
        <w:rPr>
          <w:rFonts w:hint="eastAsia"/>
        </w:rPr>
        <w:t>（8）确保工期的技术组织措施；</w:t>
      </w:r>
    </w:p>
    <w:p>
      <w:pPr>
        <w:spacing w:line="360" w:lineRule="auto"/>
        <w:ind w:firstLineChars="200" w:firstLine="420"/>
      </w:pPr>
      <w:r>
        <w:rPr>
          <w:rFonts w:hint="eastAsia"/>
        </w:rPr>
        <w:t>（9）确保文明施工的技术组织措施；</w:t>
      </w:r>
    </w:p>
    <w:p>
      <w:pPr>
        <w:spacing w:line="360" w:lineRule="auto"/>
        <w:ind w:firstLineChars="200" w:firstLine="420"/>
      </w:pPr>
      <w:r>
        <w:rPr>
          <w:rFonts w:hint="eastAsia"/>
        </w:rPr>
        <w:t>（10）工程施工的重点和难点及保证措施；</w:t>
      </w:r>
    </w:p>
    <w:p>
      <w:pPr>
        <w:spacing w:line="360" w:lineRule="auto"/>
        <w:ind w:firstLineChars="200" w:firstLine="420"/>
      </w:pPr>
      <w:r>
        <w:rPr>
          <w:rFonts w:hint="eastAsia"/>
        </w:rPr>
        <w:t>（1</w:t>
      </w:r>
      <w:r>
        <w:t>1</w:t>
      </w:r>
      <w:r>
        <w:rPr>
          <w:rFonts w:hint="eastAsia"/>
        </w:rPr>
        <w:t>）施工总平面布置图；</w:t>
      </w:r>
    </w:p>
    <w:p>
      <w:pPr>
        <w:snapToGrid w:val="0"/>
        <w:spacing w:before="50" w:afterLines="50" w:after="120"/>
        <w:ind w:firstLineChars="200" w:firstLine="420"/>
        <w:jc w:val="left"/>
        <w:rPr>
          <w:szCs w:val="21"/>
        </w:rPr>
      </w:pPr>
      <w:r>
        <w:rPr>
          <w:rFonts w:hint="eastAsia"/>
        </w:rPr>
        <w:t>（1</w:t>
      </w:r>
      <w:r>
        <w:t>2</w:t>
      </w:r>
      <w:r>
        <w:rPr>
          <w:rFonts w:hint="eastAsia"/>
        </w:rPr>
        <w:t>）其他（</w:t>
      </w:r>
      <w:r>
        <w:t>如有）</w:t>
      </w:r>
    </w:p>
    <w:p>
      <w:pPr>
        <w:snapToGrid w:val="0"/>
        <w:spacing w:before="50" w:afterLines="50" w:after="120"/>
        <w:jc w:val="left"/>
        <w:rPr>
          <w:szCs w:val="21"/>
        </w:rPr>
      </w:pPr>
      <w:r>
        <w:rPr>
          <w:szCs w:val="21"/>
        </w:rPr>
        <w:t>1.1供应商编制施工组织设计的要求：编制时应采用文字并结合图表形式说明施工方法；拟投入本工程的主要施工设备情况、拟配备本工程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snapToGrid w:val="0"/>
        <w:spacing w:before="50" w:afterLines="50" w:after="120"/>
        <w:jc w:val="left"/>
        <w:rPr>
          <w:szCs w:val="21"/>
        </w:rPr>
      </w:pPr>
    </w:p>
    <w:p>
      <w:pPr>
        <w:snapToGrid w:val="0"/>
        <w:spacing w:before="50" w:afterLines="50" w:after="120"/>
        <w:jc w:val="left"/>
        <w:rPr>
          <w:szCs w:val="21"/>
        </w:rPr>
      </w:pPr>
      <w:r>
        <w:rPr>
          <w:szCs w:val="21"/>
        </w:rPr>
        <w:t>1.2施工组织设计除采用文字表述外可附下列图表，图表及格式要求附后。</w:t>
      </w:r>
    </w:p>
    <w:p>
      <w:pPr>
        <w:snapToGrid w:val="0"/>
        <w:spacing w:before="50" w:afterLines="50" w:after="120"/>
        <w:jc w:val="left"/>
        <w:rPr>
          <w:szCs w:val="21"/>
        </w:rPr>
      </w:pPr>
      <w:r>
        <w:rPr>
          <w:szCs w:val="21"/>
        </w:rPr>
        <w:t>附表一  拟投入本工程的主要施工设备表</w:t>
      </w:r>
    </w:p>
    <w:p>
      <w:pPr>
        <w:snapToGrid w:val="0"/>
        <w:spacing w:before="50" w:afterLines="50" w:after="120"/>
        <w:jc w:val="left"/>
        <w:rPr>
          <w:szCs w:val="21"/>
        </w:rPr>
      </w:pPr>
      <w:r>
        <w:rPr>
          <w:szCs w:val="21"/>
        </w:rPr>
        <w:t>附表二  拟配备本工程的试验和检测仪器设备表</w:t>
      </w:r>
    </w:p>
    <w:p>
      <w:pPr>
        <w:snapToGrid w:val="0"/>
        <w:spacing w:before="50" w:afterLines="50" w:after="120"/>
        <w:jc w:val="left"/>
        <w:rPr>
          <w:szCs w:val="21"/>
        </w:rPr>
      </w:pPr>
      <w:r>
        <w:rPr>
          <w:szCs w:val="21"/>
        </w:rPr>
        <w:t>附表三  劳动力计划表</w:t>
      </w:r>
    </w:p>
    <w:p>
      <w:pPr>
        <w:snapToGrid w:val="0"/>
        <w:spacing w:before="50" w:afterLines="50" w:after="120"/>
        <w:jc w:val="left"/>
        <w:rPr>
          <w:szCs w:val="21"/>
        </w:rPr>
      </w:pPr>
      <w:r>
        <w:rPr>
          <w:szCs w:val="21"/>
        </w:rPr>
        <w:t>附表四  计划开、竣工日期和施工进度网络图</w:t>
      </w:r>
    </w:p>
    <w:p>
      <w:pPr>
        <w:snapToGrid w:val="0"/>
        <w:spacing w:before="50" w:afterLines="50" w:after="120"/>
        <w:jc w:val="left"/>
        <w:rPr>
          <w:szCs w:val="21"/>
        </w:rPr>
      </w:pPr>
      <w:r>
        <w:rPr>
          <w:szCs w:val="21"/>
        </w:rPr>
        <w:t>附表五  施工总平面图</w:t>
      </w:r>
    </w:p>
    <w:p>
      <w:pPr>
        <w:snapToGrid w:val="0"/>
        <w:spacing w:before="50" w:afterLines="50" w:after="120"/>
        <w:jc w:val="left"/>
        <w:rPr>
          <w:szCs w:val="21"/>
        </w:rPr>
      </w:pPr>
      <w:r>
        <w:rPr>
          <w:szCs w:val="21"/>
        </w:rPr>
        <w:t>附表六  临时用地表</w:t>
      </w:r>
    </w:p>
    <w:p>
      <w:pPr>
        <w:snapToGrid w:val="0"/>
        <w:spacing w:before="50" w:afterLines="50" w:after="120"/>
        <w:jc w:val="left"/>
        <w:rPr>
          <w:szCs w:val="21"/>
        </w:rPr>
      </w:pPr>
      <w:r>
        <w:rPr>
          <w:szCs w:val="21"/>
        </w:rPr>
        <w:t>附表七  拟分包计划表</w:t>
      </w:r>
    </w:p>
    <w:p>
      <w:pPr>
        <w:spacing w:line="460" w:lineRule="exact"/>
        <w:ind w:firstLineChars="200" w:firstLine="420"/>
        <w:rPr>
          <w:szCs w:val="21"/>
        </w:rPr>
      </w:pPr>
    </w:p>
    <w:p>
      <w:pPr>
        <w:rPr>
          <w:szCs w:val="21"/>
        </w:rPr>
      </w:pPr>
      <w:r>
        <w:t>附表一：拟投入本</w:t>
      </w:r>
      <w:r>
        <w:rPr>
          <w:szCs w:val="21"/>
        </w:rPr>
        <w:t>工程</w:t>
      </w:r>
      <w:r>
        <w:t>的主要施工设备表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226"/>
        <w:gridCol w:w="851"/>
        <w:gridCol w:w="708"/>
        <w:gridCol w:w="709"/>
        <w:gridCol w:w="851"/>
        <w:gridCol w:w="1134"/>
        <w:gridCol w:w="992"/>
        <w:gridCol w:w="1134"/>
        <w:gridCol w:w="992"/>
      </w:tblGrid>
      <w:tr>
        <w:trPr>
          <w:trHeight w:val="917"/>
        </w:trPr>
        <w:tc>
          <w:tcPr>
            <w:tcW w:w="758" w:type="dxa"/>
            <w:tcBorders>
              <w:left w:val="single" w:sz="4" w:space="0" w:color="auto"/>
              <w:right w:val="single" w:sz="4" w:space="0" w:color="auto"/>
            </w:tcBorders>
            <w:vAlign w:val="center"/>
          </w:tcPr>
          <w:p>
            <w:pPr>
              <w:jc w:val="center"/>
              <w:rPr>
                <w:szCs w:val="21"/>
              </w:rPr>
            </w:pPr>
            <w:r>
              <w:rPr>
                <w:szCs w:val="21"/>
              </w:rPr>
              <w:t>序号</w:t>
            </w:r>
          </w:p>
        </w:tc>
        <w:tc>
          <w:tcPr>
            <w:tcW w:w="1226" w:type="dxa"/>
            <w:tcBorders>
              <w:left w:val="single" w:sz="4" w:space="0" w:color="auto"/>
              <w:right w:val="single" w:sz="4" w:space="0" w:color="auto"/>
            </w:tcBorders>
            <w:vAlign w:val="center"/>
          </w:tcPr>
          <w:p>
            <w:pPr>
              <w:jc w:val="center"/>
              <w:rPr>
                <w:szCs w:val="21"/>
              </w:rPr>
            </w:pPr>
            <w:r>
              <w:rPr>
                <w:szCs w:val="21"/>
              </w:rPr>
              <w:t>设备名称</w:t>
            </w:r>
          </w:p>
        </w:tc>
        <w:tc>
          <w:tcPr>
            <w:tcW w:w="851" w:type="dxa"/>
            <w:tcBorders>
              <w:left w:val="single" w:sz="4" w:space="0" w:color="auto"/>
              <w:right w:val="single" w:sz="4" w:space="0" w:color="auto"/>
            </w:tcBorders>
            <w:vAlign w:val="center"/>
          </w:tcPr>
          <w:p>
            <w:pPr>
              <w:jc w:val="center"/>
              <w:rPr>
                <w:szCs w:val="21"/>
              </w:rPr>
            </w:pPr>
            <w:r>
              <w:rPr>
                <w:szCs w:val="21"/>
              </w:rPr>
              <w:t>型号</w:t>
            </w:r>
          </w:p>
          <w:p>
            <w:pPr>
              <w:jc w:val="center"/>
              <w:rPr>
                <w:szCs w:val="21"/>
              </w:rPr>
            </w:pPr>
            <w:r>
              <w:rPr>
                <w:szCs w:val="21"/>
              </w:rPr>
              <w:t>规格</w:t>
            </w:r>
          </w:p>
        </w:tc>
        <w:tc>
          <w:tcPr>
            <w:tcW w:w="708" w:type="dxa"/>
            <w:tcBorders>
              <w:left w:val="single" w:sz="4" w:space="0" w:color="auto"/>
              <w:right w:val="single" w:sz="4" w:space="0" w:color="auto"/>
            </w:tcBorders>
            <w:vAlign w:val="center"/>
          </w:tcPr>
          <w:p>
            <w:pPr>
              <w:jc w:val="center"/>
              <w:rPr>
                <w:szCs w:val="21"/>
              </w:rPr>
            </w:pPr>
            <w:r>
              <w:rPr>
                <w:szCs w:val="21"/>
              </w:rPr>
              <w:t>数量</w:t>
            </w:r>
          </w:p>
        </w:tc>
        <w:tc>
          <w:tcPr>
            <w:tcW w:w="709" w:type="dxa"/>
            <w:tcBorders>
              <w:left w:val="single" w:sz="4" w:space="0" w:color="auto"/>
              <w:right w:val="single" w:sz="4" w:space="0" w:color="auto"/>
            </w:tcBorders>
            <w:vAlign w:val="center"/>
          </w:tcPr>
          <w:p>
            <w:pPr>
              <w:jc w:val="center"/>
              <w:rPr>
                <w:szCs w:val="21"/>
              </w:rPr>
            </w:pPr>
            <w:r>
              <w:rPr>
                <w:szCs w:val="21"/>
              </w:rPr>
              <w:t>国别</w:t>
            </w:r>
          </w:p>
          <w:p>
            <w:pPr>
              <w:jc w:val="center"/>
              <w:rPr>
                <w:szCs w:val="21"/>
              </w:rPr>
            </w:pPr>
            <w:r>
              <w:rPr>
                <w:szCs w:val="21"/>
              </w:rPr>
              <w:t>产地</w:t>
            </w:r>
          </w:p>
        </w:tc>
        <w:tc>
          <w:tcPr>
            <w:tcW w:w="851" w:type="dxa"/>
            <w:tcBorders>
              <w:left w:val="single" w:sz="4" w:space="0" w:color="auto"/>
              <w:right w:val="single" w:sz="4" w:space="0" w:color="auto"/>
            </w:tcBorders>
            <w:vAlign w:val="center"/>
          </w:tcPr>
          <w:p>
            <w:pPr>
              <w:jc w:val="center"/>
              <w:rPr>
                <w:szCs w:val="21"/>
              </w:rPr>
            </w:pPr>
            <w:r>
              <w:rPr>
                <w:szCs w:val="21"/>
              </w:rPr>
              <w:t>制造</w:t>
            </w:r>
          </w:p>
          <w:p>
            <w:pPr>
              <w:jc w:val="center"/>
              <w:rPr>
                <w:szCs w:val="21"/>
              </w:rPr>
            </w:pPr>
            <w:r>
              <w:rPr>
                <w:szCs w:val="21"/>
              </w:rPr>
              <w:t>年份</w:t>
            </w:r>
          </w:p>
        </w:tc>
        <w:tc>
          <w:tcPr>
            <w:tcW w:w="1134" w:type="dxa"/>
            <w:tcBorders>
              <w:left w:val="single" w:sz="4" w:space="0" w:color="auto"/>
              <w:right w:val="single" w:sz="4" w:space="0" w:color="auto"/>
            </w:tcBorders>
            <w:vAlign w:val="center"/>
          </w:tcPr>
          <w:p>
            <w:pPr>
              <w:jc w:val="center"/>
              <w:rPr>
                <w:szCs w:val="21"/>
              </w:rPr>
            </w:pPr>
            <w:r>
              <w:rPr>
                <w:szCs w:val="21"/>
              </w:rPr>
              <w:t>额定功率</w:t>
            </w:r>
          </w:p>
          <w:p>
            <w:pPr>
              <w:jc w:val="center"/>
              <w:rPr>
                <w:szCs w:val="21"/>
              </w:rPr>
            </w:pPr>
            <w:r>
              <w:rPr>
                <w:szCs w:val="21"/>
              </w:rPr>
              <w:t>（kW）</w:t>
            </w:r>
          </w:p>
        </w:tc>
        <w:tc>
          <w:tcPr>
            <w:tcW w:w="992" w:type="dxa"/>
            <w:tcBorders>
              <w:left w:val="single" w:sz="4" w:space="0" w:color="auto"/>
              <w:right w:val="single" w:sz="4" w:space="0" w:color="auto"/>
            </w:tcBorders>
            <w:vAlign w:val="center"/>
          </w:tcPr>
          <w:p>
            <w:pPr>
              <w:jc w:val="center"/>
              <w:rPr>
                <w:szCs w:val="21"/>
              </w:rPr>
            </w:pPr>
            <w:r>
              <w:rPr>
                <w:szCs w:val="21"/>
              </w:rPr>
              <w:t>生产</w:t>
            </w:r>
          </w:p>
          <w:p>
            <w:pPr>
              <w:jc w:val="center"/>
              <w:rPr>
                <w:szCs w:val="21"/>
              </w:rPr>
            </w:pPr>
            <w:r>
              <w:rPr>
                <w:szCs w:val="21"/>
              </w:rPr>
              <w:t>能力</w:t>
            </w:r>
          </w:p>
        </w:tc>
        <w:tc>
          <w:tcPr>
            <w:tcW w:w="1134" w:type="dxa"/>
            <w:tcBorders>
              <w:left w:val="single" w:sz="4" w:space="0" w:color="auto"/>
              <w:right w:val="single" w:sz="4" w:space="0" w:color="auto"/>
            </w:tcBorders>
            <w:vAlign w:val="center"/>
          </w:tcPr>
          <w:p>
            <w:pPr>
              <w:jc w:val="center"/>
              <w:rPr>
                <w:szCs w:val="21"/>
              </w:rPr>
            </w:pPr>
            <w:r>
              <w:rPr>
                <w:szCs w:val="21"/>
              </w:rPr>
              <w:t>用于施</w:t>
            </w:r>
          </w:p>
          <w:p>
            <w:pPr>
              <w:jc w:val="center"/>
              <w:rPr>
                <w:szCs w:val="21"/>
              </w:rPr>
            </w:pPr>
            <w:r>
              <w:rPr>
                <w:szCs w:val="21"/>
              </w:rPr>
              <w:t>工部位</w:t>
            </w:r>
          </w:p>
        </w:tc>
        <w:tc>
          <w:tcPr>
            <w:tcW w:w="992" w:type="dxa"/>
            <w:tcBorders>
              <w:left w:val="single" w:sz="4" w:space="0" w:color="auto"/>
              <w:right w:val="single" w:sz="4" w:space="0" w:color="auto"/>
            </w:tcBorders>
            <w:vAlign w:val="center"/>
          </w:tcPr>
          <w:p>
            <w:pPr>
              <w:jc w:val="center"/>
              <w:rPr>
                <w:szCs w:val="21"/>
              </w:rPr>
            </w:pPr>
            <w:r>
              <w:rPr>
                <w:szCs w:val="21"/>
              </w:rPr>
              <w:t>备注</w:t>
            </w: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r>
        <w:trPr>
          <w:trHeight w:val="454"/>
        </w:trPr>
        <w:tc>
          <w:tcPr>
            <w:tcW w:w="758" w:type="dxa"/>
            <w:tcBorders>
              <w:top w:val="single" w:sz="4" w:space="0" w:color="auto"/>
              <w:left w:val="single" w:sz="4" w:space="0" w:color="auto"/>
              <w:right w:val="single" w:sz="4" w:space="0" w:color="auto"/>
            </w:tcBorders>
          </w:tcPr>
          <w:p>
            <w:pPr>
              <w:spacing w:line="360" w:lineRule="auto"/>
              <w:rPr>
                <w:szCs w:val="21"/>
              </w:rPr>
            </w:pPr>
          </w:p>
        </w:tc>
        <w:tc>
          <w:tcPr>
            <w:tcW w:w="1226"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708" w:type="dxa"/>
            <w:tcBorders>
              <w:top w:val="single" w:sz="4" w:space="0" w:color="auto"/>
              <w:left w:val="single" w:sz="4" w:space="0" w:color="auto"/>
              <w:right w:val="single" w:sz="4" w:space="0" w:color="auto"/>
            </w:tcBorders>
          </w:tcPr>
          <w:p>
            <w:pPr>
              <w:spacing w:line="360" w:lineRule="auto"/>
              <w:rPr>
                <w:szCs w:val="21"/>
              </w:rPr>
            </w:pPr>
          </w:p>
        </w:tc>
        <w:tc>
          <w:tcPr>
            <w:tcW w:w="709" w:type="dxa"/>
            <w:tcBorders>
              <w:top w:val="single" w:sz="4" w:space="0" w:color="auto"/>
              <w:left w:val="single" w:sz="4" w:space="0" w:color="auto"/>
              <w:right w:val="single" w:sz="4" w:space="0" w:color="auto"/>
            </w:tcBorders>
          </w:tcPr>
          <w:p>
            <w:pPr>
              <w:spacing w:line="360" w:lineRule="auto"/>
              <w:rPr>
                <w:szCs w:val="21"/>
              </w:rPr>
            </w:pPr>
          </w:p>
        </w:tc>
        <w:tc>
          <w:tcPr>
            <w:tcW w:w="851"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c>
          <w:tcPr>
            <w:tcW w:w="1134" w:type="dxa"/>
            <w:tcBorders>
              <w:top w:val="single" w:sz="4" w:space="0" w:color="auto"/>
              <w:left w:val="single" w:sz="4" w:space="0" w:color="auto"/>
              <w:right w:val="single" w:sz="4" w:space="0" w:color="auto"/>
            </w:tcBorders>
          </w:tcPr>
          <w:p>
            <w:pPr>
              <w:spacing w:line="360" w:lineRule="auto"/>
              <w:rPr>
                <w:szCs w:val="21"/>
              </w:rPr>
            </w:pPr>
          </w:p>
        </w:tc>
        <w:tc>
          <w:tcPr>
            <w:tcW w:w="992" w:type="dxa"/>
            <w:tcBorders>
              <w:top w:val="single" w:sz="4" w:space="0" w:color="auto"/>
              <w:left w:val="single" w:sz="4" w:space="0" w:color="auto"/>
              <w:right w:val="single" w:sz="4" w:space="0" w:color="auto"/>
            </w:tcBorders>
          </w:tcPr>
          <w:p>
            <w:pPr>
              <w:spacing w:line="360" w:lineRule="auto"/>
              <w:rPr>
                <w:szCs w:val="21"/>
              </w:rPr>
            </w:pPr>
          </w:p>
        </w:tc>
      </w:tr>
    </w:tbl>
    <w:p/>
    <w:p/>
    <w:p>
      <w:r>
        <w:t>附表二：拟配备本工程的试验和检测仪器设备表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226"/>
        <w:gridCol w:w="851"/>
        <w:gridCol w:w="708"/>
        <w:gridCol w:w="709"/>
        <w:gridCol w:w="1134"/>
        <w:gridCol w:w="1276"/>
        <w:gridCol w:w="1134"/>
        <w:gridCol w:w="1559"/>
      </w:tblGrid>
      <w:tr>
        <w:tc>
          <w:tcPr>
            <w:tcW w:w="758" w:type="dxa"/>
            <w:tcBorders>
              <w:left w:val="single" w:sz="4" w:space="0" w:color="auto"/>
              <w:right w:val="single" w:sz="4" w:space="0" w:color="auto"/>
            </w:tcBorders>
            <w:vAlign w:val="center"/>
          </w:tcPr>
          <w:p>
            <w:pPr>
              <w:jc w:val="center"/>
              <w:rPr>
                <w:szCs w:val="21"/>
              </w:rPr>
            </w:pPr>
            <w:r>
              <w:rPr>
                <w:szCs w:val="21"/>
              </w:rPr>
              <w:t>序号</w:t>
            </w:r>
          </w:p>
        </w:tc>
        <w:tc>
          <w:tcPr>
            <w:tcW w:w="1226" w:type="dxa"/>
            <w:tcBorders>
              <w:left w:val="single" w:sz="4" w:space="0" w:color="auto"/>
              <w:right w:val="single" w:sz="4" w:space="0" w:color="auto"/>
            </w:tcBorders>
            <w:vAlign w:val="center"/>
          </w:tcPr>
          <w:p>
            <w:pPr>
              <w:jc w:val="center"/>
              <w:rPr>
                <w:szCs w:val="21"/>
              </w:rPr>
            </w:pPr>
            <w:r>
              <w:rPr>
                <w:szCs w:val="21"/>
              </w:rPr>
              <w:t>仪器设备名称</w:t>
            </w:r>
          </w:p>
        </w:tc>
        <w:tc>
          <w:tcPr>
            <w:tcW w:w="851" w:type="dxa"/>
            <w:tcBorders>
              <w:left w:val="single" w:sz="4" w:space="0" w:color="auto"/>
              <w:right w:val="single" w:sz="4" w:space="0" w:color="auto"/>
            </w:tcBorders>
            <w:vAlign w:val="center"/>
          </w:tcPr>
          <w:p>
            <w:pPr>
              <w:jc w:val="center"/>
              <w:rPr>
                <w:szCs w:val="21"/>
              </w:rPr>
            </w:pPr>
            <w:r>
              <w:rPr>
                <w:szCs w:val="21"/>
              </w:rPr>
              <w:t>型号</w:t>
            </w:r>
          </w:p>
          <w:p>
            <w:pPr>
              <w:jc w:val="center"/>
              <w:rPr>
                <w:szCs w:val="21"/>
              </w:rPr>
            </w:pPr>
            <w:r>
              <w:rPr>
                <w:szCs w:val="21"/>
              </w:rPr>
              <w:t>规格</w:t>
            </w:r>
          </w:p>
        </w:tc>
        <w:tc>
          <w:tcPr>
            <w:tcW w:w="708" w:type="dxa"/>
            <w:tcBorders>
              <w:left w:val="single" w:sz="4" w:space="0" w:color="auto"/>
              <w:right w:val="single" w:sz="4" w:space="0" w:color="auto"/>
            </w:tcBorders>
            <w:vAlign w:val="center"/>
          </w:tcPr>
          <w:p>
            <w:pPr>
              <w:jc w:val="center"/>
              <w:rPr>
                <w:szCs w:val="21"/>
              </w:rPr>
            </w:pPr>
            <w:r>
              <w:rPr>
                <w:szCs w:val="21"/>
              </w:rPr>
              <w:t>数量</w:t>
            </w:r>
          </w:p>
        </w:tc>
        <w:tc>
          <w:tcPr>
            <w:tcW w:w="709" w:type="dxa"/>
            <w:tcBorders>
              <w:left w:val="single" w:sz="4" w:space="0" w:color="auto"/>
              <w:right w:val="single" w:sz="4" w:space="0" w:color="auto"/>
            </w:tcBorders>
            <w:vAlign w:val="center"/>
          </w:tcPr>
          <w:p>
            <w:pPr>
              <w:jc w:val="center"/>
              <w:rPr>
                <w:szCs w:val="21"/>
              </w:rPr>
            </w:pPr>
            <w:r>
              <w:rPr>
                <w:szCs w:val="21"/>
              </w:rPr>
              <w:t>国别</w:t>
            </w:r>
          </w:p>
          <w:p>
            <w:pPr>
              <w:jc w:val="center"/>
              <w:rPr>
                <w:szCs w:val="21"/>
              </w:rPr>
            </w:pPr>
            <w:r>
              <w:rPr>
                <w:szCs w:val="21"/>
              </w:rPr>
              <w:t>产地</w:t>
            </w:r>
          </w:p>
        </w:tc>
        <w:tc>
          <w:tcPr>
            <w:tcW w:w="1134" w:type="dxa"/>
            <w:tcBorders>
              <w:left w:val="single" w:sz="4" w:space="0" w:color="auto"/>
              <w:right w:val="single" w:sz="4" w:space="0" w:color="auto"/>
            </w:tcBorders>
            <w:vAlign w:val="center"/>
          </w:tcPr>
          <w:p>
            <w:pPr>
              <w:jc w:val="center"/>
              <w:rPr>
                <w:szCs w:val="21"/>
              </w:rPr>
            </w:pPr>
            <w:r>
              <w:rPr>
                <w:szCs w:val="21"/>
              </w:rPr>
              <w:t>制造年份</w:t>
            </w:r>
          </w:p>
        </w:tc>
        <w:tc>
          <w:tcPr>
            <w:tcW w:w="1276" w:type="dxa"/>
            <w:tcBorders>
              <w:left w:val="single" w:sz="4" w:space="0" w:color="auto"/>
              <w:right w:val="single" w:sz="4" w:space="0" w:color="auto"/>
            </w:tcBorders>
            <w:vAlign w:val="center"/>
          </w:tcPr>
          <w:p>
            <w:pPr>
              <w:jc w:val="center"/>
              <w:rPr>
                <w:szCs w:val="21"/>
              </w:rPr>
            </w:pPr>
            <w:r>
              <w:rPr>
                <w:szCs w:val="21"/>
              </w:rPr>
              <w:t>已使用</w:t>
            </w:r>
          </w:p>
          <w:p>
            <w:pPr>
              <w:jc w:val="center"/>
              <w:rPr>
                <w:szCs w:val="21"/>
              </w:rPr>
            </w:pPr>
            <w:r>
              <w:rPr>
                <w:szCs w:val="21"/>
              </w:rPr>
              <w:t>台时数</w:t>
            </w:r>
          </w:p>
        </w:tc>
        <w:tc>
          <w:tcPr>
            <w:tcW w:w="1134" w:type="dxa"/>
            <w:tcBorders>
              <w:left w:val="single" w:sz="4" w:space="0" w:color="auto"/>
              <w:right w:val="single" w:sz="4" w:space="0" w:color="auto"/>
            </w:tcBorders>
            <w:vAlign w:val="center"/>
          </w:tcPr>
          <w:p>
            <w:pPr>
              <w:jc w:val="center"/>
              <w:rPr>
                <w:szCs w:val="21"/>
              </w:rPr>
            </w:pPr>
            <w:r>
              <w:rPr>
                <w:szCs w:val="21"/>
              </w:rPr>
              <w:t>用途</w:t>
            </w:r>
          </w:p>
        </w:tc>
        <w:tc>
          <w:tcPr>
            <w:tcW w:w="1559" w:type="dxa"/>
            <w:tcBorders>
              <w:left w:val="single" w:sz="4" w:space="0" w:color="auto"/>
              <w:right w:val="single" w:sz="4" w:space="0" w:color="auto"/>
            </w:tcBorders>
            <w:vAlign w:val="center"/>
          </w:tcPr>
          <w:p>
            <w:pPr>
              <w:jc w:val="center"/>
              <w:rPr>
                <w:szCs w:val="21"/>
              </w:rPr>
            </w:pPr>
            <w:r>
              <w:rPr>
                <w:szCs w:val="21"/>
              </w:rPr>
              <w:t>备注</w:t>
            </w: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r>
        <w:tc>
          <w:tcPr>
            <w:tcW w:w="75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2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851"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8"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70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276"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134"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c>
          <w:tcPr>
            <w:tcW w:w="1559" w:type="dxa"/>
            <w:tcBorders>
              <w:top w:val="single" w:sz="4" w:space="0" w:color="auto"/>
              <w:left w:val="single" w:sz="4" w:space="0" w:color="auto"/>
              <w:right w:val="single" w:sz="4" w:space="0" w:color="auto"/>
            </w:tcBorders>
            <w:vAlign w:val="center"/>
          </w:tcPr>
          <w:p>
            <w:pPr>
              <w:spacing w:line="360" w:lineRule="auto"/>
              <w:ind w:firstLineChars="200" w:firstLine="420"/>
              <w:rPr>
                <w:szCs w:val="21"/>
              </w:rPr>
            </w:pPr>
          </w:p>
        </w:tc>
      </w:tr>
    </w:tbl>
    <w:p/>
    <w:p/>
    <w:p>
      <w:r>
        <w:t>附表三：劳动力计划表</w:t>
      </w:r>
    </w:p>
    <w:p>
      <w:pPr>
        <w:ind w:firstLineChars="3450" w:firstLine="7245"/>
        <w:rPr>
          <w:szCs w:val="21"/>
        </w:rPr>
      </w:pPr>
      <w:r>
        <w:rPr>
          <w:szCs w:val="21"/>
        </w:rPr>
        <w:t xml:space="preserve">    单位：人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3"/>
        <w:gridCol w:w="961"/>
        <w:gridCol w:w="1257"/>
        <w:gridCol w:w="1258"/>
        <w:gridCol w:w="1257"/>
        <w:gridCol w:w="1258"/>
        <w:gridCol w:w="1257"/>
        <w:gridCol w:w="1258"/>
      </w:tblGrid>
      <w:tr>
        <w:tc>
          <w:tcPr>
            <w:tcW w:w="853" w:type="dxa"/>
            <w:vAlign w:val="center"/>
          </w:tcPr>
          <w:p>
            <w:pPr>
              <w:spacing w:line="360" w:lineRule="auto"/>
              <w:jc w:val="center"/>
              <w:rPr>
                <w:szCs w:val="21"/>
              </w:rPr>
            </w:pPr>
            <w:r>
              <w:rPr>
                <w:szCs w:val="21"/>
              </w:rPr>
              <w:t>工种</w:t>
            </w:r>
          </w:p>
        </w:tc>
        <w:tc>
          <w:tcPr>
            <w:tcW w:w="8506" w:type="dxa"/>
            <w:gridSpan w:val="7"/>
            <w:vAlign w:val="center"/>
          </w:tcPr>
          <w:p>
            <w:pPr>
              <w:spacing w:line="360" w:lineRule="auto"/>
              <w:jc w:val="center"/>
              <w:rPr>
                <w:szCs w:val="21"/>
              </w:rPr>
            </w:pPr>
            <w:r>
              <w:rPr>
                <w:szCs w:val="21"/>
              </w:rPr>
              <w:t>按工程施工阶段投入劳动力情况</w:t>
            </w: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r>
        <w:tc>
          <w:tcPr>
            <w:tcW w:w="853"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961"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7" w:type="dxa"/>
            <w:tcBorders>
              <w:top w:val="single" w:sz="4" w:space="0" w:color="auto"/>
              <w:left w:val="single" w:sz="4" w:space="0" w:color="auto"/>
              <w:right w:val="single" w:sz="4" w:space="0" w:color="auto"/>
            </w:tcBorders>
            <w:vAlign w:val="center"/>
          </w:tcPr>
          <w:p>
            <w:pPr>
              <w:spacing w:line="360" w:lineRule="auto"/>
              <w:jc w:val="center"/>
              <w:rPr>
                <w:szCs w:val="21"/>
              </w:rPr>
            </w:pPr>
          </w:p>
        </w:tc>
        <w:tc>
          <w:tcPr>
            <w:tcW w:w="1258" w:type="dxa"/>
            <w:tcBorders>
              <w:top w:val="single" w:sz="4" w:space="0" w:color="auto"/>
              <w:left w:val="single" w:sz="4" w:space="0" w:color="auto"/>
              <w:right w:val="single" w:sz="4" w:space="0" w:color="auto"/>
            </w:tcBorders>
            <w:vAlign w:val="center"/>
          </w:tcPr>
          <w:p>
            <w:pPr>
              <w:spacing w:line="360" w:lineRule="auto"/>
              <w:jc w:val="center"/>
              <w:rPr>
                <w:szCs w:val="21"/>
              </w:rPr>
            </w:pPr>
          </w:p>
        </w:tc>
      </w:tr>
    </w:tbl>
    <w:p/>
    <w:p>
      <w:pPr>
        <w:rPr>
          <w:b/>
        </w:rPr>
      </w:pPr>
    </w:p>
    <w:p>
      <w:r>
        <w:t>附表四：计划开、竣工日期和施工进度计划（网络图或横道图）</w:t>
      </w:r>
    </w:p>
    <w:p>
      <w:pPr>
        <w:spacing w:line="460" w:lineRule="exact"/>
        <w:ind w:left="-6" w:firstLine="420"/>
      </w:pPr>
      <w:r>
        <w:rPr>
          <w:rFonts w:hint="eastAsia"/>
        </w:rPr>
        <w:t>（1）</w:t>
      </w:r>
      <w:r>
        <w:t>供应商应提交施工进度计划，说明按采购文件要求的工期进行施工的各个关键日期。成交的供应商还应按合同条件有关条款的要求提交详细的施工进度计划。</w:t>
      </w:r>
    </w:p>
    <w:p>
      <w:pPr>
        <w:spacing w:line="460" w:lineRule="exact"/>
        <w:ind w:left="-6" w:firstLine="420"/>
      </w:pPr>
      <w:r>
        <w:rPr>
          <w:rFonts w:hint="eastAsia"/>
        </w:rPr>
        <w:t>（2）</w:t>
      </w:r>
      <w:r>
        <w:t>施工进度计划可采用网络图（或横道图）表示，说明计划开工日期和各分项工程各阶段的完工日期和分包合同签订的日期。</w:t>
      </w:r>
    </w:p>
    <w:p>
      <w:pPr>
        <w:spacing w:line="460" w:lineRule="exact"/>
        <w:ind w:left="-6" w:firstLine="420"/>
      </w:pPr>
      <w:r>
        <w:rPr>
          <w:rFonts w:hint="eastAsia"/>
        </w:rPr>
        <w:t>（</w:t>
      </w:r>
      <w:r>
        <w:t>3</w:t>
      </w:r>
      <w:r>
        <w:rPr>
          <w:rFonts w:hint="eastAsia"/>
        </w:rPr>
        <w:t>）</w:t>
      </w:r>
      <w:r>
        <w:t>施工进度计划应与施工组织设计相适应。</w:t>
      </w:r>
    </w:p>
    <w:p/>
    <w:p>
      <w:r>
        <w:t>附表五：施工总平面图</w:t>
      </w:r>
    </w:p>
    <w:p>
      <w:pPr>
        <w:spacing w:line="460" w:lineRule="exact"/>
        <w:ind w:firstLineChars="200" w:firstLine="420"/>
        <w:rPr>
          <w:szCs w:val="21"/>
        </w:rPr>
      </w:pPr>
      <w:r>
        <w:rPr>
          <w:szCs w:val="21"/>
        </w:rPr>
        <w:t>供应商应递交一份施工总平面图，绘出现场临时设施布置图表并附文字说明，说明临时设施、加工车间、现场办公、设备及仓储、供电、供水、卫生、生活、道路、消防等设施的情况和布置。</w:t>
      </w:r>
    </w:p>
    <w:p/>
    <w:p/>
    <w:p>
      <w:r>
        <w:t>附表六：临时用地表</w:t>
      </w:r>
    </w:p>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90"/>
        <w:gridCol w:w="2091"/>
        <w:gridCol w:w="2090"/>
        <w:gridCol w:w="2091"/>
      </w:tblGrid>
      <w:tr>
        <w:trPr>
          <w:trHeight w:val="613"/>
        </w:trPr>
        <w:tc>
          <w:tcPr>
            <w:tcW w:w="2090" w:type="dxa"/>
            <w:tcBorders>
              <w:left w:val="single" w:sz="4" w:space="0" w:color="auto"/>
              <w:right w:val="single" w:sz="4" w:space="0" w:color="auto"/>
            </w:tcBorders>
            <w:vAlign w:val="center"/>
          </w:tcPr>
          <w:p>
            <w:pPr>
              <w:jc w:val="center"/>
            </w:pPr>
            <w:r>
              <w:rPr>
                <w:szCs w:val="21"/>
              </w:rPr>
              <w:t>用途</w:t>
            </w:r>
          </w:p>
        </w:tc>
        <w:tc>
          <w:tcPr>
            <w:tcW w:w="2091" w:type="dxa"/>
            <w:tcBorders>
              <w:left w:val="single" w:sz="4" w:space="0" w:color="auto"/>
              <w:right w:val="single" w:sz="4" w:space="0" w:color="auto"/>
            </w:tcBorders>
            <w:vAlign w:val="center"/>
          </w:tcPr>
          <w:p>
            <w:pPr>
              <w:jc w:val="center"/>
            </w:pPr>
            <w:r>
              <w:rPr>
                <w:szCs w:val="21"/>
              </w:rPr>
              <w:t>面积（平方米）</w:t>
            </w:r>
          </w:p>
        </w:tc>
        <w:tc>
          <w:tcPr>
            <w:tcW w:w="2090" w:type="dxa"/>
            <w:tcBorders>
              <w:left w:val="single" w:sz="4" w:space="0" w:color="auto"/>
              <w:right w:val="single" w:sz="4" w:space="0" w:color="auto"/>
            </w:tcBorders>
            <w:vAlign w:val="center"/>
          </w:tcPr>
          <w:p>
            <w:pPr>
              <w:jc w:val="center"/>
            </w:pPr>
            <w:r>
              <w:rPr>
                <w:szCs w:val="21"/>
              </w:rPr>
              <w:t>位置</w:t>
            </w:r>
          </w:p>
        </w:tc>
        <w:tc>
          <w:tcPr>
            <w:tcW w:w="2091" w:type="dxa"/>
            <w:tcBorders>
              <w:left w:val="single" w:sz="4" w:space="0" w:color="auto"/>
              <w:right w:val="single" w:sz="4" w:space="0" w:color="auto"/>
            </w:tcBorders>
            <w:vAlign w:val="center"/>
          </w:tcPr>
          <w:p>
            <w:pPr>
              <w:jc w:val="center"/>
            </w:pPr>
            <w:r>
              <w:rPr>
                <w:szCs w:val="21"/>
              </w:rPr>
              <w:t>需用时间</w:t>
            </w: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4"/>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r>
        <w:trPr>
          <w:trHeight w:val="513"/>
        </w:trPr>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c>
          <w:tcPr>
            <w:tcW w:w="2090" w:type="dxa"/>
            <w:tcBorders>
              <w:top w:val="single" w:sz="4" w:space="0" w:color="auto"/>
              <w:left w:val="single" w:sz="4" w:space="0" w:color="auto"/>
              <w:right w:val="single" w:sz="4" w:space="0" w:color="auto"/>
            </w:tcBorders>
          </w:tcPr>
          <w:p/>
        </w:tc>
        <w:tc>
          <w:tcPr>
            <w:tcW w:w="2091" w:type="dxa"/>
            <w:tcBorders>
              <w:top w:val="single" w:sz="4" w:space="0" w:color="auto"/>
              <w:left w:val="single" w:sz="4" w:space="0" w:color="auto"/>
              <w:right w:val="single" w:sz="4" w:space="0" w:color="auto"/>
            </w:tcBorders>
          </w:tcPr>
          <w:p/>
        </w:tc>
      </w:tr>
    </w:tbl>
    <w:p/>
    <w:p/>
    <w:p/>
    <w:p>
      <w:r>
        <w:t>附表七：拟分包计划表</w:t>
      </w:r>
    </w:p>
    <w:p>
      <w:pPr>
        <w:jc w:val="left"/>
        <w:rPr>
          <w:szCs w:val="21"/>
        </w:rPr>
      </w:pPr>
    </w:p>
    <w:p>
      <w:pPr>
        <w:rPr>
          <w:szCs w:val="21"/>
        </w:rPr>
      </w:pPr>
      <w:r>
        <w:rPr>
          <w:szCs w:val="21"/>
        </w:rPr>
        <w:t>如供应商须知注明不允许分包，则本表无须提供，反之须提供。</w:t>
      </w:r>
    </w:p>
    <w:p>
      <w:pPr>
        <w:pStyle w:val="166"/>
        <w:jc w:val="center"/>
        <w:rPr>
          <w:rFonts w:ascii="Times New Roman" w:hAnsi="Times New Roman"/>
          <w:b/>
          <w:sz w:val="28"/>
          <w:szCs w:val="28"/>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8"/>
        <w:gridCol w:w="1843"/>
        <w:gridCol w:w="751"/>
        <w:gridCol w:w="950"/>
        <w:gridCol w:w="1123"/>
        <w:gridCol w:w="1090"/>
        <w:gridCol w:w="1197"/>
        <w:gridCol w:w="1268"/>
      </w:tblGrid>
      <w:tr>
        <w:trPr>
          <w:trHeight w:val="454"/>
        </w:trPr>
        <w:tc>
          <w:tcPr>
            <w:tcW w:w="568" w:type="dxa"/>
            <w:vMerge w:val="restart"/>
            <w:tcBorders>
              <w:left w:val="single" w:sz="4" w:space="0" w:color="auto"/>
              <w:right w:val="single" w:sz="4" w:space="0" w:color="auto"/>
            </w:tcBorders>
            <w:vAlign w:val="center"/>
          </w:tcPr>
          <w:p>
            <w:pPr>
              <w:jc w:val="center"/>
              <w:rPr>
                <w:szCs w:val="21"/>
              </w:rPr>
            </w:pPr>
            <w:r>
              <w:rPr>
                <w:szCs w:val="21"/>
              </w:rPr>
              <w:t>序</w:t>
            </w:r>
          </w:p>
          <w:p>
            <w:pPr>
              <w:jc w:val="center"/>
              <w:rPr>
                <w:szCs w:val="21"/>
              </w:rPr>
            </w:pPr>
            <w:r>
              <w:rPr>
                <w:szCs w:val="21"/>
              </w:rPr>
              <w:t>号</w:t>
            </w:r>
          </w:p>
        </w:tc>
        <w:tc>
          <w:tcPr>
            <w:tcW w:w="1843" w:type="dxa"/>
            <w:vMerge w:val="restart"/>
            <w:tcBorders>
              <w:left w:val="single" w:sz="4" w:space="0" w:color="auto"/>
              <w:right w:val="single" w:sz="4" w:space="0" w:color="auto"/>
            </w:tcBorders>
            <w:vAlign w:val="center"/>
          </w:tcPr>
          <w:p>
            <w:pPr>
              <w:jc w:val="center"/>
              <w:rPr>
                <w:szCs w:val="21"/>
              </w:rPr>
            </w:pPr>
            <w:r>
              <w:rPr>
                <w:szCs w:val="21"/>
              </w:rPr>
              <w:t>拟分包项目名称、范围及理由</w:t>
            </w:r>
          </w:p>
        </w:tc>
        <w:tc>
          <w:tcPr>
            <w:tcW w:w="5111" w:type="dxa"/>
            <w:gridSpan w:val="5"/>
            <w:tcBorders>
              <w:left w:val="single" w:sz="4" w:space="0" w:color="auto"/>
              <w:right w:val="single" w:sz="4" w:space="0" w:color="auto"/>
            </w:tcBorders>
            <w:vAlign w:val="center"/>
          </w:tcPr>
          <w:p>
            <w:pPr>
              <w:jc w:val="center"/>
              <w:rPr>
                <w:szCs w:val="21"/>
              </w:rPr>
            </w:pPr>
            <w:r>
              <w:rPr>
                <w:szCs w:val="21"/>
              </w:rPr>
              <w:t>拟选分包人</w:t>
            </w:r>
          </w:p>
        </w:tc>
        <w:tc>
          <w:tcPr>
            <w:tcW w:w="1268" w:type="dxa"/>
            <w:vMerge w:val="restart"/>
            <w:tcBorders>
              <w:left w:val="single" w:sz="4" w:space="0" w:color="auto"/>
              <w:right w:val="single" w:sz="4" w:space="0" w:color="auto"/>
            </w:tcBorders>
            <w:vAlign w:val="center"/>
          </w:tcPr>
          <w:p>
            <w:pPr>
              <w:jc w:val="center"/>
              <w:rPr>
                <w:szCs w:val="21"/>
              </w:rPr>
            </w:pPr>
            <w:r>
              <w:rPr>
                <w:szCs w:val="21"/>
              </w:rPr>
              <w:t>备注</w:t>
            </w: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1701" w:type="dxa"/>
            <w:gridSpan w:val="2"/>
            <w:tcBorders>
              <w:top w:val="single" w:sz="4" w:space="0" w:color="auto"/>
              <w:left w:val="single" w:sz="4" w:space="0" w:color="auto"/>
              <w:right w:val="single" w:sz="4" w:space="0" w:color="auto"/>
            </w:tcBorders>
            <w:vAlign w:val="center"/>
          </w:tcPr>
          <w:p>
            <w:pPr>
              <w:jc w:val="center"/>
              <w:rPr>
                <w:szCs w:val="21"/>
              </w:rPr>
            </w:pPr>
            <w:r>
              <w:rPr>
                <w:szCs w:val="21"/>
              </w:rPr>
              <w:t>拟选分包人名称</w:t>
            </w:r>
          </w:p>
        </w:tc>
        <w:tc>
          <w:tcPr>
            <w:tcW w:w="1123" w:type="dxa"/>
            <w:tcBorders>
              <w:top w:val="single" w:sz="4" w:space="0" w:color="auto"/>
              <w:left w:val="single" w:sz="4" w:space="0" w:color="auto"/>
              <w:right w:val="single" w:sz="4" w:space="0" w:color="auto"/>
            </w:tcBorders>
            <w:vAlign w:val="center"/>
          </w:tcPr>
          <w:p>
            <w:pPr>
              <w:jc w:val="center"/>
              <w:rPr>
                <w:szCs w:val="21"/>
              </w:rPr>
            </w:pPr>
            <w:r>
              <w:rPr>
                <w:szCs w:val="21"/>
              </w:rPr>
              <w:t>注册地点</w:t>
            </w:r>
          </w:p>
        </w:tc>
        <w:tc>
          <w:tcPr>
            <w:tcW w:w="1090" w:type="dxa"/>
            <w:tcBorders>
              <w:top w:val="single" w:sz="4" w:space="0" w:color="auto"/>
              <w:left w:val="single" w:sz="4" w:space="0" w:color="auto"/>
              <w:right w:val="single" w:sz="4" w:space="0" w:color="auto"/>
            </w:tcBorders>
            <w:vAlign w:val="center"/>
          </w:tcPr>
          <w:p>
            <w:pPr>
              <w:jc w:val="center"/>
              <w:rPr>
                <w:szCs w:val="21"/>
              </w:rPr>
            </w:pPr>
            <w:r>
              <w:rPr>
                <w:szCs w:val="21"/>
              </w:rPr>
              <w:t>企业资质</w:t>
            </w:r>
          </w:p>
        </w:tc>
        <w:tc>
          <w:tcPr>
            <w:tcW w:w="1197" w:type="dxa"/>
            <w:tcBorders>
              <w:top w:val="single" w:sz="4" w:space="0" w:color="auto"/>
              <w:left w:val="single" w:sz="4" w:space="0" w:color="auto"/>
              <w:right w:val="single" w:sz="4" w:space="0" w:color="auto"/>
            </w:tcBorders>
            <w:vAlign w:val="center"/>
          </w:tcPr>
          <w:p>
            <w:pPr>
              <w:jc w:val="center"/>
              <w:rPr>
                <w:szCs w:val="21"/>
              </w:rPr>
            </w:pPr>
            <w:r>
              <w:rPr>
                <w:szCs w:val="21"/>
              </w:rPr>
              <w:t>有关业绩</w:t>
            </w:r>
          </w:p>
        </w:tc>
        <w:tc>
          <w:tcPr>
            <w:tcW w:w="1268" w:type="dxa"/>
            <w:vMerge/>
            <w:tcBorders>
              <w:top w:val="single" w:sz="4" w:space="0" w:color="auto"/>
              <w:left w:val="single" w:sz="4" w:space="0" w:color="auto"/>
              <w:right w:val="single" w:sz="4" w:space="0" w:color="auto"/>
            </w:tcBorders>
            <w:vAlign w:val="center"/>
          </w:tcPr>
          <w:p/>
        </w:tc>
      </w:tr>
      <w:tr>
        <w:trPr>
          <w:trHeight w:val="454"/>
        </w:trPr>
        <w:tc>
          <w:tcPr>
            <w:tcW w:w="568" w:type="dxa"/>
            <w:vMerge w:val="restart"/>
            <w:tcBorders>
              <w:top w:val="single" w:sz="4" w:space="0" w:color="auto"/>
              <w:left w:val="single" w:sz="4" w:space="0" w:color="auto"/>
              <w:right w:val="single" w:sz="4" w:space="0" w:color="auto"/>
            </w:tcBorders>
            <w:vAlign w:val="center"/>
          </w:tcPr>
          <w:p>
            <w:pPr>
              <w:jc w:val="center"/>
              <w:rPr>
                <w:szCs w:val="21"/>
              </w:rPr>
            </w:pPr>
          </w:p>
        </w:tc>
        <w:tc>
          <w:tcPr>
            <w:tcW w:w="1843" w:type="dxa"/>
            <w:vMerge w:val="restart"/>
            <w:tcBorders>
              <w:top w:val="single" w:sz="4" w:space="0" w:color="auto"/>
              <w:left w:val="single" w:sz="4" w:space="0" w:color="auto"/>
              <w:right w:val="single" w:sz="4" w:space="0" w:color="auto"/>
            </w:tcBorders>
            <w:vAlign w:val="center"/>
          </w:tcPr>
          <w:p>
            <w:pPr>
              <w:jc w:val="center"/>
              <w:rPr>
                <w:szCs w:val="21"/>
              </w:rPr>
            </w:p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1</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2</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3</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val="restart"/>
            <w:tcBorders>
              <w:top w:val="single" w:sz="4" w:space="0" w:color="auto"/>
              <w:left w:val="single" w:sz="4" w:space="0" w:color="auto"/>
              <w:right w:val="single" w:sz="4" w:space="0" w:color="auto"/>
            </w:tcBorders>
            <w:vAlign w:val="center"/>
          </w:tcPr>
          <w:p>
            <w:pPr>
              <w:jc w:val="center"/>
              <w:rPr>
                <w:szCs w:val="21"/>
              </w:rPr>
            </w:pPr>
          </w:p>
        </w:tc>
        <w:tc>
          <w:tcPr>
            <w:tcW w:w="1843" w:type="dxa"/>
            <w:vMerge w:val="restart"/>
            <w:tcBorders>
              <w:top w:val="single" w:sz="4" w:space="0" w:color="auto"/>
              <w:left w:val="single" w:sz="4" w:space="0" w:color="auto"/>
              <w:right w:val="single" w:sz="4" w:space="0" w:color="auto"/>
            </w:tcBorders>
            <w:vAlign w:val="center"/>
          </w:tcPr>
          <w:p>
            <w:pPr>
              <w:jc w:val="center"/>
              <w:rPr>
                <w:szCs w:val="21"/>
              </w:rPr>
            </w:p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1</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2</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r>
        <w:trPr>
          <w:trHeight w:val="454"/>
        </w:trPr>
        <w:tc>
          <w:tcPr>
            <w:tcW w:w="568" w:type="dxa"/>
            <w:vMerge/>
            <w:tcBorders>
              <w:top w:val="single" w:sz="4" w:space="0" w:color="auto"/>
              <w:left w:val="single" w:sz="4" w:space="0" w:color="auto"/>
              <w:right w:val="single" w:sz="4" w:space="0" w:color="auto"/>
            </w:tcBorders>
            <w:vAlign w:val="center"/>
          </w:tcPr>
          <w:p/>
        </w:tc>
        <w:tc>
          <w:tcPr>
            <w:tcW w:w="1843" w:type="dxa"/>
            <w:vMerge/>
            <w:tcBorders>
              <w:top w:val="single" w:sz="4" w:space="0" w:color="auto"/>
              <w:left w:val="single" w:sz="4" w:space="0" w:color="auto"/>
              <w:right w:val="single" w:sz="4" w:space="0" w:color="auto"/>
            </w:tcBorders>
            <w:vAlign w:val="center"/>
          </w:tcPr>
          <w:p/>
        </w:tc>
        <w:tc>
          <w:tcPr>
            <w:tcW w:w="751" w:type="dxa"/>
            <w:tcBorders>
              <w:top w:val="single" w:sz="4" w:space="0" w:color="auto"/>
              <w:left w:val="single" w:sz="4" w:space="0" w:color="auto"/>
              <w:right w:val="single" w:sz="4" w:space="0" w:color="auto"/>
            </w:tcBorders>
            <w:vAlign w:val="center"/>
          </w:tcPr>
          <w:p>
            <w:pPr>
              <w:jc w:val="center"/>
              <w:rPr>
                <w:szCs w:val="21"/>
              </w:rPr>
            </w:pPr>
            <w:r>
              <w:rPr>
                <w:szCs w:val="21"/>
              </w:rPr>
              <w:t>3</w:t>
            </w:r>
          </w:p>
        </w:tc>
        <w:tc>
          <w:tcPr>
            <w:tcW w:w="950" w:type="dxa"/>
            <w:tcBorders>
              <w:top w:val="single" w:sz="4" w:space="0" w:color="auto"/>
              <w:left w:val="single" w:sz="4" w:space="0" w:color="auto"/>
              <w:right w:val="single" w:sz="4" w:space="0" w:color="auto"/>
            </w:tcBorders>
            <w:vAlign w:val="center"/>
          </w:tcPr>
          <w:p>
            <w:pPr>
              <w:jc w:val="center"/>
              <w:rPr>
                <w:szCs w:val="21"/>
              </w:rPr>
            </w:pPr>
          </w:p>
        </w:tc>
        <w:tc>
          <w:tcPr>
            <w:tcW w:w="1123" w:type="dxa"/>
            <w:tcBorders>
              <w:top w:val="single" w:sz="4" w:space="0" w:color="auto"/>
              <w:left w:val="single" w:sz="4" w:space="0" w:color="auto"/>
              <w:right w:val="single" w:sz="4" w:space="0" w:color="auto"/>
            </w:tcBorders>
            <w:vAlign w:val="center"/>
          </w:tcPr>
          <w:p>
            <w:pPr>
              <w:jc w:val="center"/>
              <w:rPr>
                <w:szCs w:val="21"/>
              </w:rPr>
            </w:pPr>
          </w:p>
        </w:tc>
        <w:tc>
          <w:tcPr>
            <w:tcW w:w="1090" w:type="dxa"/>
            <w:tcBorders>
              <w:top w:val="single" w:sz="4" w:space="0" w:color="auto"/>
              <w:left w:val="single" w:sz="4" w:space="0" w:color="auto"/>
              <w:right w:val="single" w:sz="4" w:space="0" w:color="auto"/>
            </w:tcBorders>
            <w:vAlign w:val="center"/>
          </w:tcPr>
          <w:p>
            <w:pPr>
              <w:jc w:val="center"/>
              <w:rPr>
                <w:szCs w:val="21"/>
              </w:rPr>
            </w:pPr>
          </w:p>
        </w:tc>
        <w:tc>
          <w:tcPr>
            <w:tcW w:w="1197" w:type="dxa"/>
            <w:tcBorders>
              <w:top w:val="single" w:sz="4" w:space="0" w:color="auto"/>
              <w:left w:val="single" w:sz="4" w:space="0" w:color="auto"/>
              <w:right w:val="single" w:sz="4" w:space="0" w:color="auto"/>
            </w:tcBorders>
            <w:vAlign w:val="center"/>
          </w:tcPr>
          <w:p>
            <w:pPr>
              <w:jc w:val="center"/>
              <w:rPr>
                <w:szCs w:val="21"/>
              </w:rPr>
            </w:pPr>
          </w:p>
        </w:tc>
        <w:tc>
          <w:tcPr>
            <w:tcW w:w="1268" w:type="dxa"/>
            <w:tcBorders>
              <w:top w:val="single" w:sz="4" w:space="0" w:color="auto"/>
              <w:left w:val="single" w:sz="4" w:space="0" w:color="auto"/>
              <w:right w:val="single" w:sz="4" w:space="0" w:color="auto"/>
            </w:tcBorders>
            <w:vAlign w:val="center"/>
          </w:tcPr>
          <w:p>
            <w:pPr>
              <w:jc w:val="center"/>
              <w:rPr>
                <w:szCs w:val="21"/>
              </w:rPr>
            </w:pPr>
          </w:p>
        </w:tc>
      </w:tr>
    </w:tbl>
    <w:p>
      <w:pPr>
        <w:spacing w:line="440" w:lineRule="exact"/>
        <w:ind w:right="420" w:firstLineChars="200" w:firstLine="420"/>
        <w:rPr>
          <w:szCs w:val="21"/>
        </w:rPr>
      </w:pPr>
      <w:r>
        <w:rPr>
          <w:szCs w:val="21"/>
        </w:rPr>
        <w:t>备注：本表所列分包仅限于承包人自行施工范围内的非主体、非关键工程。</w:t>
      </w:r>
    </w:p>
    <w:p>
      <w:pPr>
        <w:wordWrap w:val="0"/>
        <w:spacing w:line="440" w:lineRule="exact"/>
        <w:ind w:right="420"/>
        <w:jc w:val="right"/>
      </w:pPr>
      <w:r>
        <w:t>日期：       年     月     日</w:t>
      </w:r>
    </w:p>
    <w:p>
      <w:pPr>
        <w:pStyle w:val="31"/>
        <w:tabs>
          <w:tab w:val="left" w:pos="2127"/>
        </w:tabs>
        <w:spacing w:line="340" w:lineRule="exact"/>
        <w:rPr>
          <w:rFonts w:ascii="Times New Roman" w:cs="Times New Roman" w:hAnsi="Times New Roman"/>
        </w:rPr>
      </w:pPr>
      <w:r>
        <w:br w:type="page"/>
        <w:t>2.</w:t>
      </w:r>
      <w:r>
        <w:rPr>
          <w:rFonts w:ascii="Times New Roman" w:cs="Times New Roman" w:hAnsi="Times New Roman"/>
        </w:rPr>
        <w:t>近年已完成类似工程一览表</w:t>
      </w:r>
    </w:p>
    <w:tbl>
      <w:tblPr>
        <w:jc w:val="cente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1"/>
        <w:gridCol w:w="1701"/>
        <w:gridCol w:w="1417"/>
        <w:gridCol w:w="851"/>
        <w:gridCol w:w="992"/>
        <w:gridCol w:w="1134"/>
        <w:gridCol w:w="1276"/>
        <w:gridCol w:w="1134"/>
      </w:tblGrid>
      <w:tr>
        <w:trPr>
          <w:trHeight w:val="545"/>
        </w:trPr>
        <w:tc>
          <w:tcPr>
            <w:tcW w:w="851" w:type="dxa"/>
            <w:tcBorders>
              <w:left w:val="single" w:sz="4" w:space="0" w:color="auto"/>
              <w:right w:val="single" w:sz="4" w:space="0" w:color="auto"/>
            </w:tcBorders>
            <w:vAlign w:val="center"/>
          </w:tcPr>
          <w:p>
            <w:pPr>
              <w:jc w:val="center"/>
            </w:pPr>
            <w:r>
              <w:t>序号</w:t>
            </w:r>
          </w:p>
        </w:tc>
        <w:tc>
          <w:tcPr>
            <w:tcW w:w="1701" w:type="dxa"/>
            <w:tcBorders>
              <w:left w:val="single" w:sz="4" w:space="0" w:color="auto"/>
              <w:right w:val="single" w:sz="4" w:space="0" w:color="auto"/>
            </w:tcBorders>
            <w:vAlign w:val="center"/>
          </w:tcPr>
          <w:p>
            <w:pPr>
              <w:jc w:val="center"/>
            </w:pPr>
            <w:r>
              <w:t>发包人名称</w:t>
            </w:r>
          </w:p>
        </w:tc>
        <w:tc>
          <w:tcPr>
            <w:tcW w:w="1417" w:type="dxa"/>
            <w:tcBorders>
              <w:left w:val="single" w:sz="4" w:space="0" w:color="auto"/>
              <w:right w:val="single" w:sz="4" w:space="0" w:color="auto"/>
            </w:tcBorders>
            <w:vAlign w:val="center"/>
          </w:tcPr>
          <w:p>
            <w:pPr>
              <w:jc w:val="center"/>
            </w:pPr>
            <w:r>
              <w:t>工程名称</w:t>
            </w:r>
          </w:p>
          <w:p>
            <w:pPr>
              <w:jc w:val="center"/>
            </w:pPr>
            <w:r>
              <w:t>及建设地点</w:t>
            </w:r>
          </w:p>
        </w:tc>
        <w:tc>
          <w:tcPr>
            <w:tcW w:w="851" w:type="dxa"/>
            <w:tcBorders>
              <w:left w:val="single" w:sz="4" w:space="0" w:color="auto"/>
              <w:right w:val="single" w:sz="4" w:space="0" w:color="auto"/>
            </w:tcBorders>
            <w:vAlign w:val="center"/>
          </w:tcPr>
          <w:p>
            <w:pPr>
              <w:jc w:val="center"/>
            </w:pPr>
            <w:r>
              <w:t>结构</w:t>
            </w:r>
          </w:p>
          <w:p>
            <w:pPr>
              <w:jc w:val="center"/>
            </w:pPr>
            <w:r>
              <w:t>类型</w:t>
            </w:r>
          </w:p>
        </w:tc>
        <w:tc>
          <w:tcPr>
            <w:tcW w:w="992" w:type="dxa"/>
            <w:tcBorders>
              <w:left w:val="single" w:sz="4" w:space="0" w:color="auto"/>
              <w:right w:val="single" w:sz="4" w:space="0" w:color="auto"/>
            </w:tcBorders>
            <w:vAlign w:val="center"/>
          </w:tcPr>
          <w:p>
            <w:pPr>
              <w:jc w:val="center"/>
            </w:pPr>
            <w:r>
              <w:t>建设</w:t>
            </w:r>
          </w:p>
          <w:p>
            <w:pPr>
              <w:jc w:val="center"/>
            </w:pPr>
            <w:r>
              <w:t>规模</w:t>
            </w:r>
          </w:p>
        </w:tc>
        <w:tc>
          <w:tcPr>
            <w:tcW w:w="1134" w:type="dxa"/>
            <w:tcBorders>
              <w:left w:val="single" w:sz="4" w:space="0" w:color="auto"/>
              <w:right w:val="single" w:sz="4" w:space="0" w:color="auto"/>
            </w:tcBorders>
            <w:vAlign w:val="center"/>
          </w:tcPr>
          <w:p>
            <w:pPr>
              <w:jc w:val="center"/>
            </w:pPr>
            <w:r>
              <w:t>合同金额</w:t>
            </w:r>
          </w:p>
          <w:p>
            <w:pPr>
              <w:jc w:val="center"/>
            </w:pPr>
            <w:r>
              <w:t>（万元）</w:t>
            </w:r>
          </w:p>
        </w:tc>
        <w:tc>
          <w:tcPr>
            <w:tcW w:w="1276" w:type="dxa"/>
            <w:tcBorders>
              <w:left w:val="single" w:sz="4" w:space="0" w:color="auto"/>
              <w:right w:val="single" w:sz="4" w:space="0" w:color="auto"/>
            </w:tcBorders>
            <w:vAlign w:val="center"/>
          </w:tcPr>
          <w:p>
            <w:pPr>
              <w:jc w:val="center"/>
            </w:pPr>
            <w:r>
              <w:t>竣工达到</w:t>
            </w:r>
          </w:p>
          <w:p>
            <w:pPr>
              <w:jc w:val="center"/>
            </w:pPr>
            <w:r>
              <w:t>质量标准</w:t>
            </w:r>
          </w:p>
        </w:tc>
        <w:tc>
          <w:tcPr>
            <w:tcW w:w="1134" w:type="dxa"/>
            <w:tcBorders>
              <w:left w:val="single" w:sz="4" w:space="0" w:color="auto"/>
              <w:right w:val="single" w:sz="4" w:space="0" w:color="auto"/>
            </w:tcBorders>
            <w:vAlign w:val="center"/>
          </w:tcPr>
          <w:p>
            <w:pPr>
              <w:jc w:val="center"/>
            </w:pPr>
            <w:r>
              <w:t>开竣工</w:t>
            </w:r>
          </w:p>
          <w:p>
            <w:pPr>
              <w:jc w:val="center"/>
            </w:pPr>
            <w:r>
              <w:t>日  期</w:t>
            </w: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1</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2</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3</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r>
        <w:trPr>
          <w:trHeight w:val="545"/>
        </w:trPr>
        <w:tc>
          <w:tcPr>
            <w:tcW w:w="851" w:type="dxa"/>
            <w:tcBorders>
              <w:top w:val="single" w:sz="4" w:space="0" w:color="auto"/>
              <w:left w:val="single" w:sz="4" w:space="0" w:color="auto"/>
              <w:right w:val="single" w:sz="4" w:space="0" w:color="auto"/>
            </w:tcBorders>
            <w:vAlign w:val="center"/>
          </w:tcPr>
          <w:p>
            <w:pPr>
              <w:jc w:val="center"/>
            </w:pPr>
            <w:r>
              <w:t>…</w:t>
            </w:r>
          </w:p>
        </w:tc>
        <w:tc>
          <w:tcPr>
            <w:tcW w:w="1701" w:type="dxa"/>
            <w:tcBorders>
              <w:top w:val="single" w:sz="4" w:space="0" w:color="auto"/>
              <w:left w:val="single" w:sz="4" w:space="0" w:color="auto"/>
              <w:right w:val="single" w:sz="4" w:space="0" w:color="auto"/>
            </w:tcBorders>
            <w:vAlign w:val="center"/>
          </w:tcPr>
          <w:p>
            <w:pPr>
              <w:jc w:val="center"/>
            </w:pPr>
          </w:p>
        </w:tc>
        <w:tc>
          <w:tcPr>
            <w:tcW w:w="1417" w:type="dxa"/>
            <w:tcBorders>
              <w:top w:val="single" w:sz="4" w:space="0" w:color="auto"/>
              <w:left w:val="single" w:sz="4" w:space="0" w:color="auto"/>
              <w:right w:val="single" w:sz="4" w:space="0" w:color="auto"/>
            </w:tcBorders>
            <w:vAlign w:val="center"/>
          </w:tcPr>
          <w:p>
            <w:pPr>
              <w:jc w:val="center"/>
            </w:pPr>
          </w:p>
        </w:tc>
        <w:tc>
          <w:tcPr>
            <w:tcW w:w="851" w:type="dxa"/>
            <w:tcBorders>
              <w:top w:val="single" w:sz="4" w:space="0" w:color="auto"/>
              <w:left w:val="single" w:sz="4" w:space="0" w:color="auto"/>
              <w:right w:val="single" w:sz="4" w:space="0" w:color="auto"/>
            </w:tcBorders>
            <w:vAlign w:val="center"/>
          </w:tcPr>
          <w:p>
            <w:pPr>
              <w:jc w:val="center"/>
            </w:pPr>
          </w:p>
        </w:tc>
        <w:tc>
          <w:tcPr>
            <w:tcW w:w="992"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c>
          <w:tcPr>
            <w:tcW w:w="1276" w:type="dxa"/>
            <w:tcBorders>
              <w:top w:val="single" w:sz="4" w:space="0" w:color="auto"/>
              <w:left w:val="single" w:sz="4" w:space="0" w:color="auto"/>
              <w:right w:val="single" w:sz="4" w:space="0" w:color="auto"/>
            </w:tcBorders>
            <w:vAlign w:val="center"/>
          </w:tcPr>
          <w:p>
            <w:pPr>
              <w:jc w:val="center"/>
            </w:pPr>
          </w:p>
        </w:tc>
        <w:tc>
          <w:tcPr>
            <w:tcW w:w="1134" w:type="dxa"/>
            <w:tcBorders>
              <w:top w:val="single" w:sz="4" w:space="0" w:color="auto"/>
              <w:left w:val="single" w:sz="4" w:space="0" w:color="auto"/>
              <w:right w:val="single" w:sz="4" w:space="0" w:color="auto"/>
            </w:tcBorders>
            <w:vAlign w:val="center"/>
          </w:tcPr>
          <w:p>
            <w:pPr>
              <w:jc w:val="center"/>
            </w:pPr>
          </w:p>
        </w:tc>
      </w:tr>
    </w:tbl>
    <w:p>
      <w:pPr>
        <w:pStyle w:val="31"/>
        <w:tabs>
          <w:tab w:val="left" w:pos="2127"/>
        </w:tabs>
        <w:spacing w:line="340" w:lineRule="exact"/>
        <w:rPr>
          <w:rFonts w:ascii="Times New Roman" w:cs="Times New Roman" w:hAnsi="Times New Roman"/>
        </w:rPr>
      </w:pPr>
      <w:r>
        <w:rPr>
          <w:rFonts w:ascii="Times New Roman" w:cs="Times New Roman" w:hAnsi="Times New Roman"/>
        </w:rPr>
        <w:t>备注：附以上类似工程的中标（成交）通知书、工程合同协议书、工程竣工验收证明材料，以及供应商认为需要增加的其他证明材料</w:t>
      </w:r>
      <w:r>
        <w:rPr>
          <w:rFonts w:hint="eastAsia"/>
          <w:lang w:eastAsia="zh-CN"/>
        </w:rPr>
        <w:t>复印件</w:t>
      </w:r>
      <w:r>
        <w:rPr>
          <w:rFonts w:ascii="Times New Roman" w:cs="Times New Roman" w:hAnsi="Times New Roman"/>
        </w:rPr>
        <w:t>，以上</w:t>
      </w:r>
      <w:r>
        <w:rPr>
          <w:rFonts w:hint="eastAsia"/>
          <w:lang w:eastAsia="zh-CN"/>
        </w:rPr>
        <w:t>复印件</w:t>
      </w:r>
      <w:r>
        <w:rPr>
          <w:rFonts w:ascii="Times New Roman" w:cs="Times New Roman" w:hAnsi="Times New Roman"/>
        </w:rPr>
        <w:t>均须加盖</w:t>
      </w:r>
      <w:r>
        <w:t>供应商</w:t>
      </w:r>
      <w:r>
        <w:rPr>
          <w:rFonts w:hint="eastAsia"/>
        </w:rPr>
        <w:t>公章</w:t>
      </w:r>
      <w:r>
        <w:rPr>
          <w:rFonts w:ascii="Times New Roman" w:cs="Times New Roman" w:hAnsi="Times New Roman"/>
        </w:rPr>
        <w:t>。</w:t>
      </w:r>
    </w:p>
    <w:p>
      <w:pPr>
        <w:spacing w:line="360" w:lineRule="exact"/>
        <w:rPr>
          <w:szCs w:val="21"/>
        </w:rPr>
      </w:pPr>
    </w:p>
    <w:p>
      <w:pPr>
        <w:pStyle w:val="31"/>
        <w:tabs>
          <w:tab w:val="left" w:pos="2127"/>
        </w:tabs>
        <w:spacing w:line="340" w:lineRule="exact"/>
      </w:pPr>
    </w:p>
    <w:p>
      <w:pPr>
        <w:spacing w:line="360" w:lineRule="exact"/>
        <w:rPr>
          <w:kern w:val="0"/>
          <w:szCs w:val="21"/>
        </w:rPr>
      </w:pPr>
      <w:r>
        <w:rPr>
          <w:szCs w:val="21"/>
        </w:rPr>
        <w:br w:type="page"/>
      </w:r>
      <w:r>
        <w:rPr>
          <w:rFonts w:hint="eastAsia"/>
          <w:szCs w:val="21"/>
        </w:rPr>
        <w:t>4</w:t>
      </w:r>
      <w:r>
        <w:rPr>
          <w:szCs w:val="21"/>
        </w:rPr>
        <w:t>．</w:t>
      </w:r>
      <w:bookmarkStart w:id="144" w:name="_Hlk160731747"/>
      <w:r>
        <w:rPr>
          <w:rFonts w:hint="eastAsia"/>
          <w:szCs w:val="21"/>
        </w:rPr>
        <w:t>符合政府采购政策的证明材料（如有）。</w:t>
      </w:r>
      <w:bookmarkEnd w:id="144"/>
    </w:p>
    <w:p>
      <w:pPr>
        <w:jc w:val="center"/>
        <w:rPr>
          <w:b/>
          <w:szCs w:val="21"/>
        </w:rPr>
      </w:pPr>
    </w:p>
    <w:p>
      <w:pPr>
        <w:rPr>
          <w:szCs w:val="21"/>
        </w:rPr>
      </w:pPr>
    </w:p>
    <w:p>
      <w:pPr>
        <w:rPr>
          <w:szCs w:val="21"/>
        </w:rPr>
      </w:pPr>
      <w:r>
        <w:rPr>
          <w:rFonts w:hint="eastAsia"/>
          <w:szCs w:val="21"/>
        </w:rPr>
        <w:t>4</w:t>
      </w:r>
      <w:r>
        <w:rPr>
          <w:szCs w:val="21"/>
        </w:rPr>
        <w:t>.</w:t>
      </w:r>
      <w:r>
        <w:rPr>
          <w:rFonts w:hint="eastAsia"/>
          <w:szCs w:val="21"/>
        </w:rPr>
        <w:t>1</w:t>
      </w:r>
      <w:r>
        <w:rPr>
          <w:rFonts w:hint="eastAsia"/>
          <w:bCs/>
          <w:szCs w:val="21"/>
        </w:rPr>
        <w:t>中小企业声明函</w:t>
      </w:r>
    </w:p>
    <w:p>
      <w:pPr>
        <w:rPr>
          <w:szCs w:val="21"/>
        </w:rPr>
      </w:pPr>
    </w:p>
    <w:p>
      <w:pPr>
        <w:rPr>
          <w:szCs w:val="21"/>
        </w:rPr>
      </w:pPr>
    </w:p>
    <w:p>
      <w:pPr>
        <w:spacing w:line="360" w:lineRule="auto"/>
        <w:jc w:val="center"/>
        <w:rPr>
          <w:b/>
          <w:szCs w:val="21"/>
        </w:rPr>
      </w:pPr>
      <w:bookmarkStart w:id="145" w:name="_Hlk60822128"/>
    </w:p>
    <w:p>
      <w:pPr>
        <w:spacing w:line="360" w:lineRule="auto"/>
        <w:ind w:firstLine="420"/>
        <w:jc w:val="center"/>
        <w:rPr>
          <w:b/>
          <w:szCs w:val="21"/>
        </w:rPr>
      </w:pPr>
      <w:bookmarkStart w:id="146" w:name="_Hlk133424993"/>
      <w:r>
        <w:rPr>
          <w:rFonts w:hint="eastAsia"/>
          <w:b/>
          <w:szCs w:val="21"/>
        </w:rPr>
        <w:t>中小企业声明函</w:t>
      </w:r>
      <w:bookmarkEnd w:id="146"/>
      <w:r>
        <w:rPr>
          <w:rFonts w:hint="eastAsia"/>
          <w:b/>
          <w:szCs w:val="21"/>
        </w:rPr>
        <w:t>（工程）</w:t>
      </w:r>
    </w:p>
    <w:p>
      <w:pPr>
        <w:spacing w:line="360" w:lineRule="auto"/>
        <w:ind w:firstLine="420"/>
        <w:rPr>
          <w:bCs/>
          <w:szCs w:val="21"/>
        </w:rPr>
      </w:pPr>
      <w:r>
        <w:rPr>
          <w:rFonts w:hint="eastAsia"/>
          <w:bCs/>
          <w:szCs w:val="21"/>
        </w:rPr>
        <w:t>本公司（联合体）郑重声明，根据《政府采购促进中小企业发展管理办法》（财库﹝2020﹞46 号）的规定，本公司（联合体）参加</w:t>
      </w:r>
      <w:r>
        <w:rPr>
          <w:rFonts w:hint="eastAsia"/>
          <w:bCs/>
          <w:szCs w:val="21"/>
          <w:u w:val="single"/>
        </w:rPr>
        <w:t>（单位名称）</w:t>
      </w:r>
      <w:r>
        <w:rPr>
          <w:rFonts w:hint="eastAsia"/>
          <w:bCs/>
          <w:szCs w:val="21"/>
        </w:rPr>
        <w:t>的</w:t>
      </w:r>
      <w:r>
        <w:rPr>
          <w:rFonts w:hint="eastAsia"/>
          <w:bCs/>
          <w:szCs w:val="21"/>
          <w:u w:val="single"/>
        </w:rPr>
        <w:t>（项目名称）</w:t>
      </w:r>
      <w:r>
        <w:rPr>
          <w:rFonts w:hint="eastAsia"/>
          <w:bCs/>
          <w:szCs w:val="21"/>
        </w:rPr>
        <w:t>采购活动，服务全部由符合政策要求的中小企业承接。相关企业（含联合体中的中小企业、签订分包意向协议的中小企业） 的具体情况如下：</w:t>
      </w:r>
    </w:p>
    <w:p>
      <w:pPr>
        <w:spacing w:line="360" w:lineRule="auto"/>
        <w:ind w:firstLine="420"/>
        <w:rPr>
          <w:bCs/>
          <w:szCs w:val="21"/>
        </w:rPr>
      </w:pPr>
      <w:r>
        <w:rPr>
          <w:bCs/>
          <w:szCs w:val="21"/>
        </w:rPr>
        <w:t>1.</w:t>
      </w:r>
      <w:r>
        <w:rPr>
          <w:rFonts w:hint="eastAsia"/>
          <w:bCs/>
          <w:szCs w:val="21"/>
          <w:u w:val="single"/>
        </w:rPr>
        <w:t>（标的名称）</w:t>
      </w:r>
      <w:r>
        <w:rPr>
          <w:rFonts w:hint="eastAsia"/>
          <w:bCs/>
          <w:szCs w:val="21"/>
        </w:rPr>
        <w:t>，属于</w:t>
      </w:r>
      <w:r>
        <w:rPr>
          <w:rFonts w:hint="eastAsia"/>
          <w:bCs/>
          <w:szCs w:val="21"/>
          <w:u w:val="single"/>
        </w:rPr>
        <w:t>（采购文件中明确的所属行业）</w:t>
      </w:r>
      <w:r>
        <w:rPr>
          <w:rFonts w:hint="eastAsia"/>
          <w:bCs/>
          <w:szCs w:val="21"/>
        </w:rPr>
        <w:t>行业；承建（承接）企业为</w:t>
      </w:r>
      <w:r>
        <w:rPr>
          <w:rFonts w:hint="eastAsia"/>
          <w:bCs/>
          <w:szCs w:val="21"/>
          <w:u w:val="single"/>
        </w:rPr>
        <w:t>（企业名称）</w:t>
      </w:r>
      <w:r>
        <w:rPr>
          <w:rFonts w:hint="eastAsia"/>
          <w:bCs/>
          <w:szCs w:val="21"/>
        </w:rPr>
        <w:t>，从业人员</w:t>
      </w:r>
      <w:r>
        <w:rPr>
          <w:bCs/>
          <w:szCs w:val="21"/>
          <w:u w:val="single"/>
        </w:rPr>
        <w:t xml:space="preserve">    </w:t>
      </w:r>
      <w:r>
        <w:rPr>
          <w:rFonts w:hint="eastAsia"/>
          <w:bCs/>
          <w:szCs w:val="21"/>
        </w:rPr>
        <w:t>人，营业收入为</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万元，资产总额为</w:t>
      </w:r>
      <w:r>
        <w:rPr>
          <w:rFonts w:hint="eastAsia"/>
          <w:bCs/>
          <w:szCs w:val="21"/>
          <w:u w:val="single"/>
        </w:rPr>
        <w:t xml:space="preserve">    </w:t>
      </w:r>
      <w:r>
        <w:rPr>
          <w:rFonts w:hint="eastAsia"/>
          <w:bCs/>
          <w:szCs w:val="21"/>
        </w:rPr>
        <w:t>万元，属于</w:t>
      </w:r>
      <w:r>
        <w:rPr>
          <w:rFonts w:hint="eastAsia"/>
          <w:bCs/>
          <w:szCs w:val="21"/>
          <w:u w:val="single"/>
        </w:rPr>
        <w:t>（中型企业、小型企业、微型企业）</w:t>
      </w:r>
      <w:r>
        <w:rPr>
          <w:rFonts w:hint="eastAsia"/>
          <w:bCs/>
          <w:szCs w:val="21"/>
        </w:rPr>
        <w:t>；</w:t>
      </w:r>
    </w:p>
    <w:p>
      <w:pPr>
        <w:spacing w:line="360" w:lineRule="auto"/>
        <w:ind w:firstLine="420"/>
        <w:rPr>
          <w:bCs/>
          <w:szCs w:val="21"/>
        </w:rPr>
      </w:pPr>
      <w:r>
        <w:rPr>
          <w:bCs/>
          <w:szCs w:val="21"/>
        </w:rPr>
        <w:t>2.</w:t>
      </w:r>
      <w:r>
        <w:rPr>
          <w:rFonts w:hint="eastAsia"/>
          <w:bCs/>
          <w:szCs w:val="21"/>
          <w:u w:val="single"/>
        </w:rPr>
        <w:t>（标的名称）</w:t>
      </w:r>
      <w:r>
        <w:rPr>
          <w:rFonts w:hint="eastAsia"/>
          <w:bCs/>
          <w:szCs w:val="21"/>
        </w:rPr>
        <w:t>，属于</w:t>
      </w:r>
      <w:r>
        <w:rPr>
          <w:rFonts w:hint="eastAsia"/>
          <w:bCs/>
          <w:szCs w:val="21"/>
          <w:u w:val="single"/>
        </w:rPr>
        <w:t>（采购文件中明确的所属行业）</w:t>
      </w:r>
      <w:r>
        <w:rPr>
          <w:rFonts w:hint="eastAsia"/>
          <w:bCs/>
          <w:szCs w:val="21"/>
        </w:rPr>
        <w:t>行业；承建（承接）企业为</w:t>
      </w:r>
      <w:r>
        <w:rPr>
          <w:rFonts w:hint="eastAsia"/>
          <w:bCs/>
          <w:szCs w:val="21"/>
          <w:u w:val="single"/>
        </w:rPr>
        <w:t>（企业名称）</w:t>
      </w:r>
      <w:r>
        <w:rPr>
          <w:rFonts w:hint="eastAsia"/>
          <w:bCs/>
          <w:szCs w:val="21"/>
        </w:rPr>
        <w:t>，从业人员</w:t>
      </w:r>
      <w:r>
        <w:rPr>
          <w:rFonts w:hint="eastAsia"/>
          <w:bCs/>
          <w:szCs w:val="21"/>
          <w:u w:val="single"/>
        </w:rPr>
        <w:t xml:space="preserve">       </w:t>
      </w:r>
      <w:r>
        <w:rPr>
          <w:rFonts w:hint="eastAsia"/>
          <w:bCs/>
          <w:szCs w:val="21"/>
        </w:rPr>
        <w:t>人，营业收入为</w:t>
      </w:r>
      <w:r>
        <w:rPr>
          <w:rFonts w:hint="eastAsia"/>
          <w:bCs/>
          <w:szCs w:val="21"/>
          <w:u w:val="single"/>
        </w:rPr>
        <w:t xml:space="preserve">     </w:t>
      </w:r>
      <w:r>
        <w:rPr>
          <w:rFonts w:hint="eastAsia"/>
          <w:bCs/>
          <w:szCs w:val="21"/>
        </w:rPr>
        <w:t>万元，资产总额为</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万元，属于</w:t>
      </w:r>
      <w:r>
        <w:rPr>
          <w:rFonts w:hint="eastAsia"/>
          <w:bCs/>
          <w:szCs w:val="21"/>
          <w:u w:val="single"/>
        </w:rPr>
        <w:t>（中型企业、小型企业、微型企业）</w:t>
      </w:r>
      <w:r>
        <w:rPr>
          <w:rFonts w:hint="eastAsia"/>
          <w:bCs/>
          <w:szCs w:val="21"/>
        </w:rPr>
        <w:t>；</w:t>
      </w:r>
    </w:p>
    <w:p>
      <w:pPr>
        <w:spacing w:line="360" w:lineRule="auto"/>
        <w:ind w:firstLine="420"/>
        <w:rPr>
          <w:bCs/>
          <w:szCs w:val="21"/>
        </w:rPr>
      </w:pPr>
      <w:r>
        <w:rPr>
          <w:rFonts w:hint="eastAsia"/>
          <w:bCs/>
          <w:szCs w:val="21"/>
        </w:rPr>
        <w:t>……</w:t>
      </w:r>
    </w:p>
    <w:p>
      <w:pPr>
        <w:spacing w:line="360" w:lineRule="auto"/>
        <w:ind w:firstLine="420"/>
        <w:rPr>
          <w:bCs/>
          <w:szCs w:val="21"/>
        </w:rPr>
      </w:pPr>
      <w:r>
        <w:rPr>
          <w:rFonts w:hint="eastAsia"/>
          <w:bCs/>
          <w:szCs w:val="21"/>
        </w:rPr>
        <w:t>以上企业，不属于大企业的分支机构，不存在控股股东为大企业的情形，也不存在与大企业的负责人为同一人的情形。</w:t>
      </w:r>
    </w:p>
    <w:p>
      <w:pPr>
        <w:spacing w:line="360" w:lineRule="auto"/>
        <w:ind w:firstLine="420"/>
        <w:rPr>
          <w:bCs/>
          <w:szCs w:val="21"/>
        </w:rPr>
      </w:pPr>
      <w:r>
        <w:rPr>
          <w:rFonts w:hint="eastAsia"/>
          <w:bCs/>
          <w:szCs w:val="21"/>
        </w:rPr>
        <w:t>本企业对上述声明内容的真实性负责。如有虚假，将依法承担相应责任。</w:t>
      </w:r>
    </w:p>
    <w:p>
      <w:pPr>
        <w:spacing w:line="360" w:lineRule="auto"/>
        <w:ind w:firstLineChars="1500" w:firstLine="3150"/>
        <w:rPr>
          <w:bCs/>
          <w:szCs w:val="21"/>
        </w:rPr>
      </w:pPr>
      <w:r>
        <w:rPr>
          <w:rFonts w:hint="eastAsia"/>
          <w:bCs/>
          <w:szCs w:val="21"/>
        </w:rPr>
        <w:t>企业名称（</w:t>
      </w:r>
      <w:r>
        <w:rPr>
          <w:rFonts w:hint="eastAsia"/>
          <w:szCs w:val="21"/>
        </w:rPr>
        <w:t>公章</w:t>
      </w:r>
      <w:r>
        <w:rPr>
          <w:rFonts w:hint="eastAsia"/>
          <w:bCs/>
          <w:szCs w:val="21"/>
        </w:rPr>
        <w:t>）：日期：</w:t>
      </w:r>
    </w:p>
    <w:p>
      <w:pPr>
        <w:spacing w:line="360" w:lineRule="auto"/>
        <w:jc w:val="left"/>
        <w:rPr>
          <w:bCs/>
          <w:szCs w:val="21"/>
        </w:rPr>
      </w:pPr>
      <w:bookmarkStart w:id="147" w:name="_Hlk65852026"/>
      <w:bookmarkEnd w:id="145"/>
      <w:r>
        <w:rPr>
          <w:rFonts w:hint="eastAsia"/>
          <w:bCs/>
          <w:szCs w:val="21"/>
        </w:rPr>
        <w:t>注：</w:t>
      </w:r>
      <w:bookmarkEnd w:id="147"/>
      <w:r>
        <w:rPr>
          <w:rFonts w:hint="eastAsia"/>
          <w:bCs/>
          <w:szCs w:val="21"/>
        </w:rPr>
        <w:t>（1）标的名称按照第二章采购需求中的名称填写，</w:t>
      </w:r>
      <w:r>
        <w:rPr>
          <w:szCs w:val="21"/>
        </w:rPr>
        <w:t>所属行业标明“/”的</w:t>
      </w:r>
      <w:r>
        <w:rPr>
          <w:rFonts w:hint="eastAsia"/>
          <w:bCs/>
          <w:szCs w:val="21"/>
        </w:rPr>
        <w:t>，无需在上表填写。</w:t>
      </w:r>
    </w:p>
    <w:p>
      <w:pPr>
        <w:spacing w:line="360" w:lineRule="auto"/>
        <w:jc w:val="left"/>
        <w:rPr>
          <w:bCs/>
          <w:szCs w:val="21"/>
        </w:rPr>
      </w:pPr>
      <w:r>
        <w:rPr>
          <w:rFonts w:hint="eastAsia"/>
          <w:bCs/>
          <w:szCs w:val="21"/>
        </w:rPr>
        <w:t>（</w:t>
      </w:r>
      <w:r>
        <w:rPr>
          <w:bCs/>
          <w:szCs w:val="21"/>
        </w:rPr>
        <w:t>2</w:t>
      </w:r>
      <w:r>
        <w:rPr>
          <w:rFonts w:hint="eastAsia"/>
          <w:bCs/>
          <w:szCs w:val="21"/>
        </w:rPr>
        <w:t>）如供应商为联合体或分包的，声明函中“项目名称”应填写联合体中小微企业承担的具体内容或者小微企业具体分包内容。</w:t>
      </w:r>
    </w:p>
    <w:p>
      <w:pPr>
        <w:spacing w:line="360" w:lineRule="auto"/>
        <w:jc w:val="left"/>
        <w:rPr>
          <w:bCs/>
          <w:szCs w:val="21"/>
        </w:rPr>
      </w:pPr>
      <w:r>
        <w:rPr>
          <w:rFonts w:hint="eastAsia"/>
          <w:bCs/>
          <w:szCs w:val="21"/>
        </w:rPr>
        <w:t>（</w:t>
      </w:r>
      <w:r>
        <w:rPr>
          <w:bCs/>
          <w:szCs w:val="21"/>
        </w:rPr>
        <w:t>3</w:t>
      </w:r>
      <w:r>
        <w:rPr>
          <w:rFonts w:hint="eastAsia"/>
          <w:bCs/>
          <w:szCs w:val="21"/>
        </w:rPr>
        <w:t>）从业人员、营业收入、资产总额填报上一年度数据，无上一年度数据的新成立企业参照国务院批准的中小企业划分标准，根据企业自身情况如实判断。</w:t>
      </w:r>
    </w:p>
    <w:p>
      <w:pPr>
        <w:spacing w:line="360" w:lineRule="auto"/>
        <w:jc w:val="left"/>
        <w:rPr>
          <w:bCs/>
          <w:szCs w:val="21"/>
        </w:rPr>
      </w:pPr>
      <w:r>
        <w:rPr>
          <w:rFonts w:hint="eastAsia"/>
          <w:bCs/>
          <w:szCs w:val="21"/>
        </w:rPr>
        <w:t>（</w:t>
      </w:r>
      <w:r>
        <w:rPr>
          <w:bCs/>
          <w:szCs w:val="21"/>
        </w:rPr>
        <w:t>4</w:t>
      </w:r>
      <w:r>
        <w:rPr>
          <w:rFonts w:hint="eastAsia"/>
          <w:bCs/>
          <w:szCs w:val="21"/>
        </w:rPr>
        <w:t>）根据工业和信息化部对“从业人员”定义的答复，《民法典》、《公司法》等法律规定，分公司不具有法人资格，其民事责任由总公司承担。企业划型时，应将分公司的从业人员、营业收入、资产总额等指标数据纳入合并计算。</w:t>
      </w:r>
    </w:p>
    <w:p>
      <w:pPr>
        <w:spacing w:line="360" w:lineRule="auto"/>
        <w:jc w:val="left"/>
        <w:rPr>
          <w:bCs/>
          <w:szCs w:val="21"/>
        </w:rPr>
      </w:pPr>
      <w:r>
        <w:rPr>
          <w:rFonts w:hint="eastAsia"/>
          <w:bCs/>
          <w:szCs w:val="21"/>
        </w:rPr>
        <w:t>（5）根据国际统计局《劳动工资统计报表制度》，从业人员数是指本单位工作，并取得工资活其他形式劳动报酬的人员数，是在岗职工、劳务派遣人员及其他从业人员之和。</w:t>
      </w:r>
    </w:p>
    <w:p>
      <w:pPr>
        <w:spacing w:line="360" w:lineRule="auto"/>
        <w:jc w:val="left"/>
        <w:rPr>
          <w:bCs/>
          <w:szCs w:val="21"/>
        </w:rPr>
      </w:pPr>
      <w:r>
        <w:rPr>
          <w:rFonts w:hint="eastAsia"/>
          <w:bCs/>
          <w:szCs w:val="21"/>
        </w:rPr>
        <w:t>（</w:t>
      </w:r>
      <w:r>
        <w:rPr>
          <w:bCs/>
          <w:szCs w:val="21"/>
        </w:rPr>
        <w:t>6</w:t>
      </w:r>
      <w:r>
        <w:rPr>
          <w:rFonts w:hint="eastAsia"/>
          <w:bCs/>
          <w:szCs w:val="21"/>
        </w:rPr>
        <w:t>）本声明函由供应商填写，供应商应按中小企业划分标准《关于印发中小企业划型标准规定的通知》（工信部联企业〔2011〕300号</w:t>
      </w:r>
      <w:r>
        <w:rPr>
          <w:rFonts w:hint="eastAsia"/>
          <w:szCs w:val="21"/>
        </w:rPr>
        <w:t>以及《金融业企业划型标准规定》（银发〔2015〕309号）</w:t>
      </w:r>
      <w:r>
        <w:rPr>
          <w:rFonts w:hint="eastAsia"/>
          <w:bCs/>
          <w:szCs w:val="21"/>
        </w:rPr>
        <w:t>）判断是否为中小企业。</w:t>
      </w:r>
    </w:p>
    <w:p>
      <w:pPr>
        <w:spacing w:line="360" w:lineRule="auto"/>
        <w:jc w:val="left"/>
        <w:rPr>
          <w:bCs/>
          <w:szCs w:val="21"/>
        </w:rPr>
      </w:pPr>
      <w:r>
        <w:rPr>
          <w:rFonts w:hint="eastAsia"/>
          <w:bCs/>
          <w:szCs w:val="21"/>
        </w:rPr>
        <w:t>（</w:t>
      </w:r>
      <w:r>
        <w:rPr>
          <w:bCs/>
          <w:szCs w:val="21"/>
        </w:rPr>
        <w:t>7</w:t>
      </w:r>
      <w:r>
        <w:rPr>
          <w:rFonts w:hint="eastAsia"/>
          <w:bCs/>
          <w:szCs w:val="21"/>
        </w:rPr>
        <w:t>）供应商对《中小企业声明函》的真实性负责，如有虚假则需承担不利后果。依法享受中小企业优惠政策的，采购人或采购代理机构在公告成交结果时，同时公告其《中小企业声明函》，接受社会监督。</w:t>
      </w:r>
    </w:p>
    <w:p>
      <w:pPr>
        <w:spacing w:line="360" w:lineRule="auto"/>
        <w:jc w:val="left"/>
        <w:rPr>
          <w:bCs/>
          <w:szCs w:val="21"/>
        </w:rPr>
      </w:pPr>
      <w:r>
        <w:rPr>
          <w:rFonts w:hint="eastAsia"/>
          <w:bCs/>
          <w:szCs w:val="21"/>
        </w:rPr>
        <w:t>（</w:t>
      </w:r>
      <w:r>
        <w:rPr>
          <w:bCs/>
          <w:szCs w:val="21"/>
        </w:rPr>
        <w:t>8</w:t>
      </w:r>
      <w:r>
        <w:rPr>
          <w:rFonts w:hint="eastAsia"/>
          <w:bCs/>
          <w:szCs w:val="21"/>
        </w:rPr>
        <w:t>）上述企业属于大企业的分支机构或控股股东为大企业或与大企业的负责人为同一人的，不得享受价格扣除优惠政策。接受分包的小微企业与分包企业之间存在直接控股、管理关系的，不得享受价格扣除优惠政策。</w:t>
      </w:r>
    </w:p>
    <w:p>
      <w:pPr>
        <w:spacing w:line="360" w:lineRule="auto"/>
        <w:jc w:val="left"/>
        <w:rPr>
          <w:szCs w:val="21"/>
        </w:rPr>
      </w:pPr>
    </w:p>
    <w:p>
      <w:pPr>
        <w:ind w:right="420" w:firstLineChars="2550" w:firstLine="5355"/>
        <w:rPr>
          <w:szCs w:val="21"/>
        </w:rPr>
      </w:pPr>
    </w:p>
    <w:p>
      <w:pPr>
        <w:snapToGrid w:val="0"/>
        <w:spacing w:before="50" w:afterLines="50" w:after="120"/>
        <w:jc w:val="left"/>
        <w:rPr>
          <w:szCs w:val="21"/>
        </w:rPr>
      </w:pPr>
      <w:r>
        <w:rPr>
          <w:rFonts w:hint="eastAsia"/>
          <w:szCs w:val="21"/>
        </w:rPr>
        <w:t>4</w:t>
      </w:r>
      <w:r>
        <w:rPr>
          <w:szCs w:val="21"/>
        </w:rPr>
        <w:t>.</w:t>
      </w:r>
      <w:r>
        <w:rPr>
          <w:rFonts w:hint="eastAsia"/>
          <w:szCs w:val="21"/>
        </w:rPr>
        <w:t>2</w:t>
      </w:r>
      <w:r>
        <w:rPr>
          <w:szCs w:val="21"/>
        </w:rPr>
        <w:t xml:space="preserve"> 监狱企业须提供最新一期《XX省监狱企业</w:t>
      </w:r>
      <w:r>
        <w:rPr>
          <w:rFonts w:hint="eastAsia"/>
          <w:szCs w:val="21"/>
        </w:rPr>
        <w:t>产品</w:t>
      </w:r>
      <w:r>
        <w:rPr>
          <w:szCs w:val="21"/>
        </w:rPr>
        <w:t>目录》或其他监狱企业证明材料。（非监狱企业无需提供）</w:t>
      </w:r>
    </w:p>
    <w:p>
      <w:pPr>
        <w:snapToGrid w:val="0"/>
        <w:spacing w:before="50" w:afterLines="50" w:after="120"/>
        <w:jc w:val="left"/>
        <w:rPr>
          <w:szCs w:val="21"/>
        </w:rPr>
      </w:pPr>
    </w:p>
    <w:p>
      <w:pPr>
        <w:snapToGrid w:val="0"/>
        <w:spacing w:before="50" w:afterLines="50" w:after="120"/>
        <w:jc w:val="left"/>
        <w:rPr>
          <w:szCs w:val="21"/>
        </w:rPr>
      </w:pPr>
    </w:p>
    <w:p>
      <w:pPr>
        <w:snapToGrid w:val="0"/>
        <w:spacing w:before="50" w:afterLines="50" w:after="120"/>
        <w:jc w:val="left"/>
      </w:pPr>
      <w:r>
        <w:rPr>
          <w:rFonts w:hint="eastAsia"/>
          <w:szCs w:val="21"/>
        </w:rPr>
        <w:t>4</w:t>
      </w:r>
      <w:r>
        <w:rPr>
          <w:szCs w:val="21"/>
        </w:rPr>
        <w:t>.</w:t>
      </w:r>
      <w:r>
        <w:rPr>
          <w:rFonts w:hint="eastAsia"/>
          <w:szCs w:val="21"/>
        </w:rPr>
        <w:t>3</w:t>
      </w:r>
      <w:r>
        <w:rPr>
          <w:szCs w:val="21"/>
        </w:rPr>
        <w:t>残疾人福利性单位须提供《残疾人福利性单位声明</w:t>
      </w:r>
      <w:r>
        <w:t>函》，格式如下。</w:t>
      </w:r>
      <w:r>
        <w:rPr>
          <w:szCs w:val="21"/>
        </w:rPr>
        <w:t>（非残疾人福利性单位无需提供）</w:t>
      </w:r>
      <w:r>
        <w:rPr>
          <w:rFonts w:hint="eastAsia"/>
          <w:szCs w:val="21"/>
        </w:rPr>
        <w:t>。</w:t>
      </w:r>
    </w:p>
    <w:p>
      <w:pPr>
        <w:spacing w:line="360" w:lineRule="auto"/>
        <w:jc w:val="center"/>
        <w:rPr>
          <w:b/>
          <w:szCs w:val="21"/>
        </w:rPr>
      </w:pPr>
      <w:r>
        <w:rPr>
          <w:b/>
          <w:szCs w:val="21"/>
        </w:rPr>
        <w:t>残疾人福利性单位声明函</w:t>
      </w:r>
    </w:p>
    <w:p>
      <w:pPr>
        <w:spacing w:line="588" w:lineRule="exact"/>
        <w:rPr>
          <w:rFonts w:eastAsia="仿宋_GB2312"/>
          <w:b/>
          <w:spacing w:val="6"/>
          <w:sz w:val="30"/>
          <w:szCs w:val="30"/>
        </w:rPr>
      </w:pPr>
    </w:p>
    <w:p>
      <w:pPr>
        <w:spacing w:line="360" w:lineRule="auto"/>
        <w:ind w:firstLine="420"/>
        <w:jc w:val="left"/>
        <w:rPr>
          <w:szCs w:val="21"/>
        </w:rPr>
      </w:pPr>
      <w:r>
        <w:rPr>
          <w:szCs w:val="21"/>
        </w:rPr>
        <w:t>本单位郑重声明，根据《财政部 民政部 中国残疾人联合会关于促进残疾人就业政府采购政策的通知》（财库〔2017〕141号）的规定，本单位为符合条件的残疾人福利性单位，且本单位参加</w:t>
      </w:r>
      <w:r>
        <w:rPr>
          <w:szCs w:val="21"/>
          <w:u w:val="single"/>
        </w:rPr>
        <w:t xml:space="preserve">        </w:t>
      </w:r>
      <w:r>
        <w:rPr>
          <w:szCs w:val="21"/>
        </w:rPr>
        <w:t>单位的</w:t>
      </w:r>
      <w:r>
        <w:rPr>
          <w:szCs w:val="21"/>
          <w:u w:val="single"/>
        </w:rPr>
        <w:t xml:space="preserve">           </w:t>
      </w:r>
      <w:r>
        <w:rPr>
          <w:szCs w:val="21"/>
        </w:rPr>
        <w:t>项目采购活动提供本单位制造的货物（由本单位承担工程/提供服务），或者提供其他残疾人福利性单位制造的货物（不包括使用非残疾人福利性单位注册商标的货物）。</w:t>
      </w:r>
    </w:p>
    <w:p>
      <w:pPr>
        <w:spacing w:line="360" w:lineRule="auto"/>
        <w:ind w:firstLine="420"/>
        <w:rPr>
          <w:szCs w:val="21"/>
        </w:rPr>
      </w:pPr>
      <w:r>
        <w:rPr>
          <w:szCs w:val="21"/>
        </w:rPr>
        <w:t>本单位对上述声明的真实性负责。如有虚假，将依法承担相应责任。</w:t>
      </w:r>
    </w:p>
    <w:p>
      <w:pPr>
        <w:tabs>
          <w:tab w:val="left" w:pos="4860"/>
        </w:tabs>
        <w:spacing w:line="588" w:lineRule="exact"/>
        <w:ind w:right="1560" w:firstLineChars="200" w:firstLine="624"/>
        <w:jc w:val="center"/>
        <w:rPr>
          <w:spacing w:val="6"/>
          <w:szCs w:val="21"/>
        </w:rPr>
      </w:pPr>
      <w:r>
        <w:rPr>
          <w:rFonts w:eastAsia="仿宋_GB2312"/>
          <w:spacing w:val="6"/>
          <w:sz w:val="30"/>
          <w:szCs w:val="30"/>
        </w:rPr>
        <w:t xml:space="preserve">              </w:t>
      </w:r>
      <w:r>
        <w:rPr>
          <w:spacing w:val="6"/>
          <w:szCs w:val="21"/>
        </w:rPr>
        <w:t xml:space="preserve"> </w:t>
      </w:r>
      <w:r>
        <w:rPr>
          <w:rFonts w:hint="eastAsia"/>
          <w:spacing w:val="6"/>
          <w:szCs w:val="21"/>
        </w:rPr>
        <w:t xml:space="preserve">    </w:t>
      </w:r>
      <w:r>
        <w:rPr>
          <w:spacing w:val="6"/>
          <w:szCs w:val="21"/>
        </w:rPr>
        <w:t>单位名称（</w:t>
      </w:r>
      <w:r>
        <w:rPr>
          <w:rFonts w:hint="eastAsia"/>
          <w:szCs w:val="21"/>
        </w:rPr>
        <w:t>公章</w:t>
      </w:r>
      <w:r>
        <w:rPr>
          <w:spacing w:val="6"/>
          <w:szCs w:val="21"/>
        </w:rPr>
        <w:t>）：</w:t>
      </w:r>
    </w:p>
    <w:p>
      <w:pPr>
        <w:snapToGrid w:val="0"/>
        <w:spacing w:before="50" w:afterLines="50" w:after="120"/>
        <w:jc w:val="left"/>
        <w:rPr>
          <w:spacing w:val="6"/>
          <w:szCs w:val="21"/>
        </w:rPr>
      </w:pPr>
      <w:r>
        <w:rPr>
          <w:spacing w:val="6"/>
          <w:szCs w:val="21"/>
        </w:rPr>
        <w:t xml:space="preserve">                                           </w:t>
      </w:r>
      <w:r>
        <w:rPr>
          <w:rFonts w:hint="eastAsia"/>
          <w:spacing w:val="6"/>
          <w:szCs w:val="21"/>
        </w:rPr>
        <w:t xml:space="preserve">     </w:t>
      </w:r>
      <w:r>
        <w:rPr>
          <w:spacing w:val="6"/>
          <w:szCs w:val="21"/>
        </w:rPr>
        <w:t xml:space="preserve"> 日  期：</w:t>
      </w:r>
    </w:p>
    <w:p>
      <w:pPr>
        <w:rPr>
          <w:szCs w:val="21"/>
        </w:rPr>
      </w:pPr>
    </w:p>
    <w:p>
      <w:pPr>
        <w:widowControl/>
        <w:jc w:val="left"/>
        <w:rPr>
          <w:szCs w:val="21"/>
        </w:rPr>
      </w:pPr>
    </w:p>
    <w:p>
      <w:pPr>
        <w:snapToGrid w:val="0"/>
        <w:spacing w:before="50" w:afterLines="50" w:after="120"/>
        <w:jc w:val="left"/>
        <w:rPr>
          <w:szCs w:val="21"/>
        </w:rPr>
      </w:pPr>
    </w:p>
    <w:p>
      <w:pPr>
        <w:snapToGrid w:val="0"/>
        <w:spacing w:before="50" w:afterLines="50" w:after="120"/>
        <w:jc w:val="left"/>
        <w:rPr>
          <w:szCs w:val="21"/>
        </w:rPr>
      </w:pPr>
    </w:p>
    <w:p>
      <w:pPr>
        <w:snapToGrid w:val="0"/>
        <w:spacing w:before="50" w:afterLines="50" w:after="120"/>
        <w:jc w:val="left"/>
        <w:rPr>
          <w:b/>
          <w:bCs/>
          <w:szCs w:val="21"/>
        </w:rPr>
      </w:pPr>
      <w:r>
        <w:rPr>
          <w:szCs w:val="21"/>
        </w:rPr>
        <w:br w:type="page"/>
      </w:r>
      <w:r>
        <w:rPr>
          <w:rFonts w:hint="eastAsia"/>
          <w:szCs w:val="21"/>
        </w:rPr>
        <w:t>5</w:t>
      </w:r>
      <w:r>
        <w:rPr>
          <w:szCs w:val="21"/>
        </w:rPr>
        <w:t>.</w:t>
      </w:r>
      <w:r>
        <w:rPr>
          <w:rFonts w:hint="eastAsia"/>
          <w:b/>
          <w:bCs/>
          <w:szCs w:val="21"/>
        </w:rPr>
        <w:t>无串标行为承诺函</w:t>
      </w:r>
    </w:p>
    <w:p>
      <w:pPr>
        <w:snapToGrid w:val="0"/>
        <w:spacing w:before="50" w:afterLines="50" w:after="120"/>
        <w:jc w:val="center"/>
        <w:rPr>
          <w:szCs w:val="21"/>
        </w:rPr>
      </w:pPr>
    </w:p>
    <w:p>
      <w:pPr>
        <w:snapToGrid w:val="0"/>
        <w:spacing w:before="50" w:afterLines="50" w:after="120"/>
        <w:jc w:val="center"/>
        <w:rPr>
          <w:szCs w:val="21"/>
        </w:rPr>
      </w:pPr>
      <w:r>
        <w:rPr>
          <w:rFonts w:hint="eastAsia"/>
          <w:szCs w:val="21"/>
        </w:rPr>
        <w:t>供应商参加本项目无围标串标行为的承诺函</w:t>
      </w:r>
    </w:p>
    <w:p>
      <w:pPr>
        <w:snapToGrid w:val="0"/>
        <w:spacing w:before="50" w:afterLines="50" w:after="120"/>
        <w:jc w:val="left"/>
        <w:rPr>
          <w:szCs w:val="21"/>
        </w:rPr>
      </w:pPr>
    </w:p>
    <w:p>
      <w:pPr>
        <w:snapToGrid w:val="0"/>
        <w:spacing w:before="50" w:afterLines="50" w:after="120"/>
        <w:jc w:val="left"/>
        <w:rPr>
          <w:szCs w:val="21"/>
        </w:rPr>
      </w:pPr>
      <w:r>
        <w:rPr>
          <w:rFonts w:hint="eastAsia"/>
          <w:szCs w:val="21"/>
        </w:rPr>
        <w:t>一、我方承诺无下列相互串通投标的情形：</w:t>
      </w:r>
    </w:p>
    <w:p>
      <w:pPr>
        <w:snapToGrid w:val="0"/>
        <w:spacing w:before="50" w:afterLines="50" w:after="120"/>
        <w:jc w:val="left"/>
        <w:rPr>
          <w:szCs w:val="21"/>
        </w:rPr>
      </w:pPr>
      <w:r>
        <w:rPr>
          <w:rFonts w:hint="eastAsia"/>
          <w:szCs w:val="21"/>
        </w:rPr>
        <w:t>1.不同供应商的响应文件由同一单位或者个人编制；或者不同供应商报名的IP地址一致的；</w:t>
      </w:r>
    </w:p>
    <w:p>
      <w:pPr>
        <w:snapToGrid w:val="0"/>
        <w:spacing w:before="50" w:afterLines="50" w:after="120"/>
        <w:jc w:val="left"/>
        <w:rPr>
          <w:szCs w:val="21"/>
        </w:rPr>
      </w:pPr>
      <w:r>
        <w:rPr>
          <w:rFonts w:hint="eastAsia"/>
          <w:szCs w:val="21"/>
        </w:rPr>
        <w:t>2.不同供应商委托同一单位或者个人办理投标事宜；</w:t>
      </w:r>
    </w:p>
    <w:p>
      <w:pPr>
        <w:snapToGrid w:val="0"/>
        <w:spacing w:before="50" w:afterLines="50" w:after="120"/>
        <w:jc w:val="left"/>
        <w:rPr>
          <w:szCs w:val="21"/>
        </w:rPr>
      </w:pPr>
      <w:r>
        <w:rPr>
          <w:rFonts w:hint="eastAsia"/>
          <w:szCs w:val="21"/>
        </w:rPr>
        <w:t>3.不同的供应商的响应文件载明的项目管理员为同一个人；</w:t>
      </w:r>
    </w:p>
    <w:p>
      <w:pPr>
        <w:snapToGrid w:val="0"/>
        <w:spacing w:before="50" w:afterLines="50" w:after="120"/>
        <w:jc w:val="left"/>
        <w:rPr>
          <w:szCs w:val="21"/>
        </w:rPr>
      </w:pPr>
      <w:r>
        <w:rPr>
          <w:rFonts w:hint="eastAsia"/>
          <w:szCs w:val="21"/>
        </w:rPr>
        <w:t>4.不同供应商的响应文件异常一致或者投标报价呈规律性差异；</w:t>
      </w:r>
    </w:p>
    <w:p>
      <w:pPr>
        <w:snapToGrid w:val="0"/>
        <w:spacing w:before="50" w:afterLines="50" w:after="120"/>
        <w:jc w:val="left"/>
        <w:rPr>
          <w:szCs w:val="21"/>
        </w:rPr>
      </w:pPr>
      <w:r>
        <w:rPr>
          <w:rFonts w:hint="eastAsia"/>
          <w:szCs w:val="21"/>
        </w:rPr>
        <w:t>5.不同供应商的响应文件相互混装；</w:t>
      </w:r>
    </w:p>
    <w:p>
      <w:pPr>
        <w:snapToGrid w:val="0"/>
        <w:spacing w:before="50" w:afterLines="50" w:after="120"/>
        <w:jc w:val="left"/>
        <w:rPr>
          <w:szCs w:val="21"/>
        </w:rPr>
      </w:pPr>
      <w:r>
        <w:rPr>
          <w:rFonts w:hint="eastAsia"/>
          <w:szCs w:val="21"/>
        </w:rPr>
        <w:t>6.不同供应商的磋商保证金从同一单位或者个人账户转出。</w:t>
      </w:r>
    </w:p>
    <w:p>
      <w:pPr>
        <w:snapToGrid w:val="0"/>
        <w:spacing w:before="50" w:afterLines="50" w:after="120"/>
        <w:jc w:val="left"/>
        <w:rPr>
          <w:szCs w:val="21"/>
        </w:rPr>
      </w:pPr>
      <w:r>
        <w:rPr>
          <w:rFonts w:hint="eastAsia"/>
          <w:szCs w:val="21"/>
        </w:rPr>
        <w:t>二、我方承诺无下列恶意串通的情形：</w:t>
      </w:r>
    </w:p>
    <w:p>
      <w:pPr>
        <w:snapToGrid w:val="0"/>
        <w:spacing w:before="50" w:afterLines="50" w:after="120"/>
        <w:jc w:val="left"/>
        <w:rPr>
          <w:szCs w:val="21"/>
        </w:rPr>
      </w:pPr>
      <w:r>
        <w:rPr>
          <w:rFonts w:hint="eastAsia"/>
          <w:szCs w:val="21"/>
        </w:rPr>
        <w:t>1.供应商直接或者间接从采购人或者采购代理机构处获得其他供应商的相关信息并修改其响应文件或者响应文件；</w:t>
      </w:r>
    </w:p>
    <w:p>
      <w:pPr>
        <w:snapToGrid w:val="0"/>
        <w:spacing w:before="50" w:afterLines="50" w:after="120"/>
        <w:jc w:val="left"/>
        <w:rPr>
          <w:szCs w:val="21"/>
        </w:rPr>
      </w:pPr>
      <w:r>
        <w:rPr>
          <w:rFonts w:hint="eastAsia"/>
          <w:szCs w:val="21"/>
        </w:rPr>
        <w:t>2.供应商按照采购人或者采购代理机构的授意撤换、修改响应文件或者响应文件；</w:t>
      </w:r>
    </w:p>
    <w:p>
      <w:pPr>
        <w:snapToGrid w:val="0"/>
        <w:spacing w:before="50" w:afterLines="50" w:after="120"/>
        <w:jc w:val="left"/>
        <w:rPr>
          <w:szCs w:val="21"/>
        </w:rPr>
      </w:pPr>
      <w:r>
        <w:rPr>
          <w:rFonts w:hint="eastAsia"/>
          <w:szCs w:val="21"/>
        </w:rPr>
        <w:t>3.供应商之间协商报价、技术方案等响应文件或者响应文件的实质性内容；</w:t>
      </w:r>
    </w:p>
    <w:p>
      <w:pPr>
        <w:snapToGrid w:val="0"/>
        <w:spacing w:before="50" w:afterLines="50" w:after="120"/>
        <w:jc w:val="left"/>
        <w:rPr>
          <w:szCs w:val="21"/>
        </w:rPr>
      </w:pPr>
      <w:r>
        <w:rPr>
          <w:rFonts w:hint="eastAsia"/>
          <w:szCs w:val="21"/>
        </w:rPr>
        <w:t>4.属于同一集团、协会、商会等组织成员的供应商按照该组织要求协同参加政府采购活动；</w:t>
      </w:r>
    </w:p>
    <w:p>
      <w:pPr>
        <w:snapToGrid w:val="0"/>
        <w:spacing w:before="50" w:afterLines="50" w:after="120"/>
        <w:jc w:val="left"/>
        <w:rPr>
          <w:szCs w:val="21"/>
        </w:rPr>
      </w:pPr>
      <w:r>
        <w:rPr>
          <w:rFonts w:hint="eastAsia"/>
          <w:szCs w:val="21"/>
        </w:rPr>
        <w:t>5.供应商之间事先约定一致抬高或者压低投标报价，或者在招标项目中事先约定轮流以高价位或者低价位中标，或者事先约定由某一特定供应商中标，然后再参加投标；</w:t>
      </w:r>
    </w:p>
    <w:p>
      <w:pPr>
        <w:snapToGrid w:val="0"/>
        <w:spacing w:before="50" w:afterLines="50" w:after="120"/>
        <w:jc w:val="left"/>
        <w:rPr>
          <w:szCs w:val="21"/>
        </w:rPr>
      </w:pPr>
      <w:r>
        <w:rPr>
          <w:rFonts w:hint="eastAsia"/>
          <w:szCs w:val="21"/>
        </w:rPr>
        <w:t>6.供应商之间商定部分供应商放弃参加政府采购活动或者放弃中标；</w:t>
      </w:r>
    </w:p>
    <w:p>
      <w:pPr>
        <w:snapToGrid w:val="0"/>
        <w:spacing w:before="50" w:afterLines="50" w:after="120"/>
        <w:jc w:val="left"/>
        <w:rPr>
          <w:szCs w:val="21"/>
        </w:rPr>
      </w:pPr>
      <w:r>
        <w:rPr>
          <w:rFonts w:hint="eastAsia"/>
          <w:szCs w:val="21"/>
        </w:rPr>
        <w:t>7.供应商与采购人或者采购代理机构之间、供应商相互之间，为谋求特定供应商中标或者排斥其他供应商的其他串通行为。</w:t>
      </w:r>
    </w:p>
    <w:p>
      <w:pPr>
        <w:snapToGrid w:val="0"/>
        <w:spacing w:before="50" w:afterLines="50" w:after="120"/>
        <w:jc w:val="left"/>
        <w:rPr>
          <w:szCs w:val="21"/>
        </w:rPr>
      </w:pPr>
      <w:r>
        <w:rPr>
          <w:rFonts w:hint="eastAsia"/>
          <w:szCs w:val="21"/>
        </w:rPr>
        <w:t>以上情形一经核查属实，我方愿意承担一切后果，并不再寻求任何旨在减轻或者免除法律责任的辩解。</w:t>
      </w:r>
    </w:p>
    <w:p>
      <w:pPr>
        <w:snapToGrid w:val="0"/>
        <w:spacing w:before="50" w:afterLines="50" w:after="120"/>
        <w:jc w:val="center"/>
        <w:rPr>
          <w:szCs w:val="21"/>
        </w:rPr>
      </w:pPr>
      <w:r>
        <w:rPr>
          <w:rFonts w:hint="eastAsia"/>
          <w:szCs w:val="21"/>
        </w:rPr>
        <w:t xml:space="preserve"> </w:t>
      </w:r>
      <w:r>
        <w:rPr>
          <w:szCs w:val="21"/>
        </w:rPr>
        <w:t xml:space="preserve"> </w:t>
      </w:r>
    </w:p>
    <w:p>
      <w:pPr>
        <w:snapToGrid w:val="0"/>
        <w:spacing w:before="50" w:afterLines="50" w:after="120"/>
        <w:jc w:val="center"/>
        <w:rPr>
          <w:szCs w:val="21"/>
        </w:rPr>
      </w:pPr>
    </w:p>
    <w:p>
      <w:pPr>
        <w:snapToGrid w:val="0"/>
        <w:spacing w:before="50" w:afterLines="50" w:after="120"/>
        <w:jc w:val="center"/>
        <w:rPr>
          <w:szCs w:val="21"/>
        </w:rPr>
      </w:pPr>
    </w:p>
    <w:p>
      <w:pPr>
        <w:snapToGrid w:val="0"/>
        <w:spacing w:before="50" w:afterLines="50" w:after="120"/>
        <w:jc w:val="center"/>
        <w:rPr>
          <w:szCs w:val="21"/>
        </w:rPr>
      </w:pPr>
      <w:r>
        <w:rPr>
          <w:szCs w:val="21"/>
        </w:rPr>
        <w:t>供应商</w:t>
      </w:r>
      <w:r>
        <w:rPr>
          <w:rFonts w:hint="eastAsia"/>
          <w:szCs w:val="21"/>
        </w:rPr>
        <w:t>名称(公章</w:t>
      </w:r>
      <w:r>
        <w:rPr>
          <w:szCs w:val="21"/>
        </w:rPr>
        <w:t>)</w:t>
      </w:r>
      <w:r>
        <w:rPr>
          <w:rFonts w:hint="eastAsia"/>
          <w:szCs w:val="21"/>
        </w:rPr>
        <w:t>：</w:t>
      </w:r>
    </w:p>
    <w:p>
      <w:pPr>
        <w:snapToGrid w:val="0"/>
        <w:spacing w:before="50" w:afterLines="50" w:after="120"/>
        <w:jc w:val="center"/>
        <w:rPr>
          <w:szCs w:val="21"/>
        </w:rPr>
      </w:pPr>
      <w:r>
        <w:rPr>
          <w:rFonts w:hint="eastAsia"/>
          <w:szCs w:val="21"/>
        </w:rPr>
        <w:t>日期：  年  月   日</w:t>
      </w:r>
    </w:p>
    <w:p>
      <w:pPr>
        <w:spacing w:line="360" w:lineRule="exact"/>
        <w:rPr>
          <w:szCs w:val="21"/>
        </w:rPr>
      </w:pPr>
    </w:p>
    <w:p>
      <w:pPr>
        <w:spacing w:line="360" w:lineRule="exact"/>
        <w:rPr>
          <w:b/>
          <w:bCs/>
          <w:szCs w:val="21"/>
        </w:rPr>
      </w:pPr>
      <w:r>
        <w:rPr>
          <w:szCs w:val="21"/>
        </w:rPr>
        <w:br w:type="page"/>
      </w:r>
      <w:r>
        <w:rPr>
          <w:rFonts w:hint="eastAsia"/>
          <w:szCs w:val="21"/>
        </w:rPr>
        <w:t>6</w:t>
      </w:r>
      <w:r>
        <w:rPr>
          <w:szCs w:val="21"/>
        </w:rPr>
        <w:t>.</w:t>
      </w:r>
      <w:r>
        <w:rPr>
          <w:b/>
          <w:bCs/>
          <w:szCs w:val="21"/>
        </w:rPr>
        <w:t>代理服务费承诺书</w:t>
      </w:r>
    </w:p>
    <w:p>
      <w:pPr>
        <w:spacing w:line="360" w:lineRule="exact"/>
        <w:rPr>
          <w:rFonts w:eastAsia="宋体" w:hint="eastAsia"/>
          <w:szCs w:val="21"/>
          <w:lang w:eastAsia="zh-CN"/>
        </w:rPr>
      </w:pPr>
      <w:r>
        <w:rPr>
          <w:szCs w:val="21"/>
        </w:rPr>
        <w:t>致：</w:t>
      </w:r>
      <w:r>
        <w:rPr>
          <w:rFonts w:hint="eastAsia"/>
          <w:szCs w:val="21"/>
          <w:lang w:eastAsia="zh-CN"/>
        </w:rPr>
        <w:t>广西桂工建设管理咨询有限公司</w:t>
      </w:r>
    </w:p>
    <w:p>
      <w:pPr>
        <w:spacing w:line="360" w:lineRule="exact"/>
        <w:ind w:firstLineChars="200" w:firstLine="420"/>
        <w:rPr>
          <w:szCs w:val="21"/>
        </w:rPr>
      </w:pPr>
      <w:r>
        <w:rPr>
          <w:szCs w:val="21"/>
        </w:rPr>
        <w:t>我单位参加了贵方组织的</w:t>
      </w:r>
      <w:r>
        <w:rPr>
          <w:rFonts w:hint="eastAsia"/>
          <w:szCs w:val="21"/>
        </w:rPr>
        <w:t>磋商</w:t>
      </w:r>
      <w:r>
        <w:rPr>
          <w:szCs w:val="21"/>
        </w:rPr>
        <w:t>项目编号为</w:t>
      </w:r>
      <w:r>
        <w:rPr>
          <w:b/>
          <w:szCs w:val="21"/>
        </w:rPr>
        <w:t>（</w:t>
      </w:r>
      <w:r>
        <w:rPr>
          <w:szCs w:val="21"/>
          <w:u w:val="single"/>
        </w:rPr>
        <w:t xml:space="preserve">                    )</w:t>
      </w:r>
      <w:r>
        <w:rPr>
          <w:szCs w:val="21"/>
        </w:rPr>
        <w:t>的响应，并递交了</w:t>
      </w:r>
      <w:r>
        <w:rPr>
          <w:rFonts w:hint="eastAsia"/>
          <w:szCs w:val="21"/>
        </w:rPr>
        <w:t>磋商</w:t>
      </w:r>
      <w:r>
        <w:rPr>
          <w:szCs w:val="21"/>
        </w:rPr>
        <w:t>保证金</w:t>
      </w:r>
      <w:r>
        <w:rPr>
          <w:szCs w:val="21"/>
          <w:u w:val="single"/>
        </w:rPr>
        <w:t xml:space="preserve">                  </w:t>
      </w:r>
      <w:r>
        <w:rPr>
          <w:szCs w:val="21"/>
        </w:rPr>
        <w:t>（</w:t>
      </w:r>
      <w:r>
        <w:rPr>
          <w:kern w:val="0"/>
          <w:szCs w:val="21"/>
        </w:rPr>
        <w:t>¥</w:t>
      </w:r>
      <w:r>
        <w:rPr>
          <w:szCs w:val="21"/>
          <w:u w:val="single"/>
        </w:rPr>
        <w:t xml:space="preserve">       </w:t>
      </w:r>
      <w:r>
        <w:rPr>
          <w:szCs w:val="21"/>
        </w:rPr>
        <w:t>），在此我方说明如下：</w:t>
      </w:r>
    </w:p>
    <w:p>
      <w:pPr>
        <w:spacing w:line="360" w:lineRule="exact"/>
        <w:ind w:firstLineChars="200" w:firstLine="420"/>
        <w:rPr>
          <w:szCs w:val="21"/>
        </w:rPr>
      </w:pPr>
      <w:r>
        <w:rPr>
          <w:szCs w:val="21"/>
        </w:rPr>
        <w:t>1．我方承诺，若我单位</w:t>
      </w:r>
      <w:r>
        <w:rPr>
          <w:rFonts w:hint="eastAsia"/>
          <w:szCs w:val="21"/>
        </w:rPr>
        <w:t>成交</w:t>
      </w:r>
      <w:r>
        <w:rPr>
          <w:szCs w:val="21"/>
        </w:rPr>
        <w:t>，保证在领取</w:t>
      </w:r>
      <w:r>
        <w:rPr>
          <w:rFonts w:hint="eastAsia"/>
          <w:szCs w:val="21"/>
        </w:rPr>
        <w:t>成交</w:t>
      </w:r>
      <w:r>
        <w:rPr>
          <w:szCs w:val="21"/>
        </w:rPr>
        <w:t>通知书之前，按本项目</w:t>
      </w:r>
      <w:r>
        <w:rPr>
          <w:rFonts w:hint="eastAsia"/>
          <w:szCs w:val="21"/>
        </w:rPr>
        <w:t>采购文件</w:t>
      </w:r>
      <w:r>
        <w:rPr>
          <w:szCs w:val="21"/>
        </w:rPr>
        <w:t>的规定标准向贵单位支付代理服务费。如我单位未按规定缴纳代理服务费，贵方可</w:t>
      </w:r>
      <w:r>
        <w:rPr>
          <w:rFonts w:hint="eastAsia"/>
          <w:szCs w:val="21"/>
        </w:rPr>
        <w:t>不退还</w:t>
      </w:r>
      <w:r>
        <w:rPr>
          <w:szCs w:val="21"/>
        </w:rPr>
        <w:t>我单位提交的</w:t>
      </w:r>
      <w:r>
        <w:rPr>
          <w:rFonts w:hint="eastAsia"/>
          <w:szCs w:val="21"/>
        </w:rPr>
        <w:t>磋商</w:t>
      </w:r>
      <w:r>
        <w:rPr>
          <w:szCs w:val="21"/>
        </w:rPr>
        <w:t>保证金</w:t>
      </w:r>
      <w:r>
        <w:rPr>
          <w:rFonts w:hint="eastAsia"/>
          <w:szCs w:val="21"/>
        </w:rPr>
        <w:t>，并从中</w:t>
      </w:r>
      <w:r>
        <w:rPr>
          <w:szCs w:val="21"/>
        </w:rPr>
        <w:t>扣除</w:t>
      </w:r>
      <w:r>
        <w:rPr>
          <w:rFonts w:hint="eastAsia"/>
          <w:szCs w:val="21"/>
        </w:rPr>
        <w:t>代理服务费</w:t>
      </w:r>
      <w:r>
        <w:rPr>
          <w:szCs w:val="21"/>
        </w:rPr>
        <w:t>，余款按下列账户退回。</w:t>
      </w:r>
    </w:p>
    <w:p>
      <w:pPr>
        <w:snapToGrid w:val="0"/>
        <w:spacing w:before="50" w:afterLines="50" w:after="120"/>
        <w:ind w:firstLineChars="200" w:firstLine="420"/>
        <w:jc w:val="left"/>
        <w:rPr>
          <w:szCs w:val="21"/>
        </w:rPr>
      </w:pPr>
      <w:r>
        <w:rPr>
          <w:szCs w:val="21"/>
        </w:rPr>
        <w:t>我公司选择第</w:t>
      </w:r>
      <w:r>
        <w:rPr>
          <w:szCs w:val="21"/>
          <w:u w:val="single"/>
        </w:rPr>
        <w:t xml:space="preserve">     </w:t>
      </w:r>
      <w:r>
        <w:rPr>
          <w:szCs w:val="21"/>
        </w:rPr>
        <w:t>种方式缴纳代理服务费。</w:t>
      </w:r>
    </w:p>
    <w:p>
      <w:pPr>
        <w:spacing w:line="360" w:lineRule="exact"/>
        <w:ind w:firstLineChars="200" w:firstLine="420"/>
        <w:rPr>
          <w:szCs w:val="21"/>
        </w:rPr>
      </w:pPr>
      <w:r>
        <w:rPr>
          <w:szCs w:val="21"/>
        </w:rPr>
        <w:t>第一种方式：一次性足额缴纳代理服务费。</w:t>
      </w:r>
    </w:p>
    <w:p>
      <w:pPr>
        <w:spacing w:line="360" w:lineRule="exact"/>
        <w:ind w:firstLineChars="200" w:firstLine="420"/>
        <w:rPr>
          <w:szCs w:val="21"/>
        </w:rPr>
      </w:pPr>
      <w:r>
        <w:rPr>
          <w:szCs w:val="21"/>
        </w:rPr>
        <w:t>第二种方式：从磋商保证金中抵扣代理服务费，不足部分补交。</w:t>
      </w:r>
    </w:p>
    <w:p>
      <w:pPr>
        <w:spacing w:line="360" w:lineRule="exact"/>
        <w:ind w:firstLineChars="200" w:firstLine="420"/>
        <w:rPr>
          <w:szCs w:val="21"/>
        </w:rPr>
      </w:pPr>
      <w:r>
        <w:rPr>
          <w:szCs w:val="21"/>
        </w:rPr>
        <w:t>2．如我单位磋商保证金无法原路返回，请按下表账户信息无息退还。</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533"/>
        <w:gridCol w:w="5431"/>
      </w:tblGrid>
      <w:tr>
        <w:trPr>
          <w:cantSplit/>
          <w:trHeight w:val="372"/>
        </w:trPr>
        <w:tc>
          <w:tcPr>
            <w:tcW w:w="3533" w:type="dxa"/>
            <w:vAlign w:val="center"/>
          </w:tcPr>
          <w:p>
            <w:pPr>
              <w:spacing w:line="360" w:lineRule="exact"/>
              <w:jc w:val="center"/>
              <w:rPr>
                <w:szCs w:val="21"/>
              </w:rPr>
            </w:pPr>
            <w:r>
              <w:rPr>
                <w:szCs w:val="21"/>
              </w:rPr>
              <w:t>收款户名</w:t>
            </w:r>
          </w:p>
        </w:tc>
        <w:tc>
          <w:tcPr>
            <w:tcW w:w="5431" w:type="dxa"/>
            <w:vAlign w:val="center"/>
          </w:tcPr>
          <w:p>
            <w:pPr>
              <w:spacing w:line="360" w:lineRule="exact"/>
              <w:jc w:val="center"/>
              <w:rPr>
                <w:szCs w:val="21"/>
              </w:rPr>
            </w:pPr>
          </w:p>
        </w:tc>
      </w:tr>
      <w:tr>
        <w:trPr>
          <w:cantSplit/>
          <w:trHeight w:val="372"/>
        </w:trPr>
        <w:tc>
          <w:tcPr>
            <w:tcW w:w="3533" w:type="dxa"/>
            <w:tcBorders>
              <w:top w:val="single" w:sz="4" w:space="0" w:color="auto"/>
              <w:left w:val="single" w:sz="4" w:space="0" w:color="auto"/>
              <w:right w:val="single" w:sz="4" w:space="0" w:color="auto"/>
            </w:tcBorders>
            <w:vAlign w:val="center"/>
          </w:tcPr>
          <w:p>
            <w:pPr>
              <w:spacing w:line="360" w:lineRule="exact"/>
              <w:jc w:val="center"/>
              <w:rPr>
                <w:szCs w:val="21"/>
              </w:rPr>
            </w:pPr>
            <w:r>
              <w:rPr>
                <w:szCs w:val="21"/>
              </w:rPr>
              <w:t>账    号</w:t>
            </w:r>
          </w:p>
        </w:tc>
        <w:tc>
          <w:tcPr>
            <w:tcW w:w="5431" w:type="dxa"/>
            <w:tcBorders>
              <w:top w:val="single" w:sz="4" w:space="0" w:color="auto"/>
              <w:left w:val="single" w:sz="4" w:space="0" w:color="auto"/>
              <w:right w:val="single" w:sz="4" w:space="0" w:color="auto"/>
            </w:tcBorders>
            <w:vAlign w:val="center"/>
          </w:tcPr>
          <w:p>
            <w:pPr>
              <w:spacing w:line="360" w:lineRule="exact"/>
              <w:jc w:val="center"/>
              <w:rPr>
                <w:szCs w:val="21"/>
              </w:rPr>
            </w:pPr>
          </w:p>
        </w:tc>
      </w:tr>
      <w:tr>
        <w:trPr>
          <w:cantSplit/>
          <w:trHeight w:val="372"/>
        </w:trPr>
        <w:tc>
          <w:tcPr>
            <w:tcW w:w="3533" w:type="dxa"/>
            <w:tcBorders>
              <w:top w:val="single" w:sz="4" w:space="0" w:color="auto"/>
              <w:left w:val="single" w:sz="4" w:space="0" w:color="auto"/>
              <w:right w:val="single" w:sz="4" w:space="0" w:color="auto"/>
            </w:tcBorders>
            <w:vAlign w:val="center"/>
          </w:tcPr>
          <w:p>
            <w:pPr>
              <w:spacing w:line="360" w:lineRule="exact"/>
              <w:jc w:val="center"/>
              <w:rPr>
                <w:szCs w:val="21"/>
              </w:rPr>
            </w:pPr>
            <w:r>
              <w:rPr>
                <w:szCs w:val="21"/>
              </w:rPr>
              <w:t>开户银行</w:t>
            </w:r>
          </w:p>
        </w:tc>
        <w:tc>
          <w:tcPr>
            <w:tcW w:w="5431" w:type="dxa"/>
            <w:tcBorders>
              <w:top w:val="single" w:sz="4" w:space="0" w:color="auto"/>
              <w:left w:val="single" w:sz="4" w:space="0" w:color="auto"/>
              <w:right w:val="single" w:sz="4" w:space="0" w:color="auto"/>
            </w:tcBorders>
            <w:vAlign w:val="center"/>
          </w:tcPr>
          <w:p>
            <w:pPr>
              <w:spacing w:line="360" w:lineRule="exact"/>
              <w:jc w:val="center"/>
              <w:rPr>
                <w:szCs w:val="21"/>
              </w:rPr>
            </w:pPr>
          </w:p>
        </w:tc>
      </w:tr>
      <w:tr>
        <w:trPr>
          <w:cantSplit/>
          <w:trHeight w:val="372"/>
        </w:trPr>
        <w:tc>
          <w:tcPr>
            <w:tcW w:w="3533" w:type="dxa"/>
            <w:tcBorders>
              <w:top w:val="single" w:sz="4" w:space="0" w:color="auto"/>
              <w:left w:val="single" w:sz="4" w:space="0" w:color="auto"/>
              <w:right w:val="single" w:sz="4" w:space="0" w:color="auto"/>
            </w:tcBorders>
            <w:vAlign w:val="center"/>
          </w:tcPr>
          <w:p>
            <w:pPr>
              <w:spacing w:line="360" w:lineRule="exact"/>
              <w:jc w:val="center"/>
              <w:rPr>
                <w:szCs w:val="21"/>
              </w:rPr>
            </w:pPr>
            <w:r>
              <w:rPr>
                <w:szCs w:val="21"/>
              </w:rPr>
              <w:t>银行行号</w:t>
            </w:r>
          </w:p>
        </w:tc>
        <w:tc>
          <w:tcPr>
            <w:tcW w:w="5431" w:type="dxa"/>
            <w:tcBorders>
              <w:top w:val="single" w:sz="4" w:space="0" w:color="auto"/>
              <w:left w:val="single" w:sz="4" w:space="0" w:color="auto"/>
              <w:right w:val="single" w:sz="4" w:space="0" w:color="auto"/>
            </w:tcBorders>
            <w:vAlign w:val="center"/>
          </w:tcPr>
          <w:p>
            <w:pPr>
              <w:spacing w:line="360" w:lineRule="exact"/>
              <w:jc w:val="center"/>
              <w:rPr>
                <w:szCs w:val="21"/>
              </w:rPr>
            </w:pPr>
          </w:p>
        </w:tc>
      </w:tr>
    </w:tbl>
    <w:p>
      <w:pPr>
        <w:spacing w:line="360" w:lineRule="exact"/>
        <w:ind w:firstLineChars="200" w:firstLine="420"/>
        <w:rPr>
          <w:szCs w:val="21"/>
        </w:rPr>
      </w:pPr>
      <w:r>
        <w:rPr>
          <w:szCs w:val="21"/>
        </w:rPr>
        <w:t>3．如果我单位未遵守有关采购文件关于磋商保证金的规定，贵方可以没收我单位磋商保证金。</w:t>
      </w:r>
    </w:p>
    <w:p>
      <w:pPr>
        <w:spacing w:line="360" w:lineRule="exact"/>
        <w:ind w:firstLineChars="200" w:firstLine="420"/>
        <w:rPr>
          <w:szCs w:val="21"/>
        </w:rPr>
      </w:pPr>
      <w:r>
        <w:rPr>
          <w:szCs w:val="21"/>
        </w:rPr>
        <w:t>4. 我单位选择第</w:t>
      </w:r>
      <w:r>
        <w:rPr>
          <w:szCs w:val="21"/>
          <w:u w:val="single"/>
        </w:rPr>
        <w:t xml:space="preserve">     </w:t>
      </w:r>
      <w:r>
        <w:rPr>
          <w:szCs w:val="21"/>
        </w:rPr>
        <w:t>种方式作为代理服务费开票类型：</w:t>
      </w:r>
    </w:p>
    <w:p>
      <w:pPr>
        <w:spacing w:line="360" w:lineRule="exact"/>
        <w:ind w:firstLineChars="200" w:firstLine="420"/>
        <w:rPr>
          <w:szCs w:val="21"/>
        </w:rPr>
      </w:pPr>
      <w:r>
        <w:rPr>
          <w:szCs w:val="21"/>
        </w:rPr>
        <w:t>第一种方式：开具收据。</w:t>
      </w:r>
    </w:p>
    <w:p>
      <w:pPr>
        <w:spacing w:line="360" w:lineRule="exact"/>
        <w:ind w:firstLineChars="200" w:firstLine="420"/>
        <w:rPr>
          <w:szCs w:val="21"/>
        </w:rPr>
      </w:pPr>
      <w:r>
        <w:rPr>
          <w:szCs w:val="21"/>
        </w:rPr>
        <w:t>第二种方式：开具增值税普通发票。 1.公司名称</w:t>
      </w:r>
      <w:r>
        <w:rPr>
          <w:szCs w:val="21"/>
          <w:u w:val="single"/>
        </w:rPr>
        <w:t xml:space="preserve">                      </w:t>
      </w:r>
      <w:r>
        <w:rPr>
          <w:szCs w:val="21"/>
        </w:rPr>
        <w:t>；2.纳税人识别号</w:t>
      </w:r>
      <w:r>
        <w:rPr>
          <w:szCs w:val="21"/>
          <w:u w:val="single"/>
        </w:rPr>
        <w:t xml:space="preserve">                     </w:t>
      </w:r>
      <w:r>
        <w:rPr>
          <w:szCs w:val="21"/>
        </w:rPr>
        <w:t>；</w:t>
      </w:r>
    </w:p>
    <w:p>
      <w:pPr>
        <w:spacing w:line="360" w:lineRule="exact"/>
        <w:ind w:firstLineChars="200" w:firstLine="420"/>
        <w:rPr>
          <w:szCs w:val="21"/>
        </w:rPr>
      </w:pPr>
      <w:r>
        <w:rPr>
          <w:szCs w:val="21"/>
        </w:rPr>
        <w:t>第三种方式：开具增值税专用发票，开票信息如下：1.公司名称</w:t>
      </w:r>
      <w:r>
        <w:rPr>
          <w:szCs w:val="21"/>
          <w:u w:val="single"/>
        </w:rPr>
        <w:t xml:space="preserve">                      </w:t>
      </w:r>
      <w:r>
        <w:rPr>
          <w:szCs w:val="21"/>
        </w:rPr>
        <w:t>；2.纳税人识别号</w:t>
      </w:r>
      <w:r>
        <w:rPr>
          <w:szCs w:val="21"/>
          <w:u w:val="single"/>
        </w:rPr>
        <w:t xml:space="preserve">                     </w:t>
      </w:r>
      <w:r>
        <w:rPr>
          <w:szCs w:val="21"/>
        </w:rPr>
        <w:t>；3.税局登记地址</w:t>
      </w:r>
      <w:r>
        <w:rPr>
          <w:szCs w:val="21"/>
          <w:u w:val="single"/>
        </w:rPr>
        <w:t xml:space="preserve">                     </w:t>
      </w:r>
      <w:r>
        <w:rPr>
          <w:szCs w:val="21"/>
        </w:rPr>
        <w:t>；4.税局登记电话</w:t>
      </w:r>
      <w:r>
        <w:rPr>
          <w:szCs w:val="21"/>
          <w:u w:val="single"/>
        </w:rPr>
        <w:t xml:space="preserve">             </w:t>
      </w:r>
      <w:r>
        <w:rPr>
          <w:szCs w:val="21"/>
        </w:rPr>
        <w:t>；5.开户银行</w:t>
      </w:r>
      <w:r>
        <w:rPr>
          <w:szCs w:val="21"/>
          <w:u w:val="single"/>
        </w:rPr>
        <w:t xml:space="preserve">                 </w:t>
      </w:r>
      <w:r>
        <w:rPr>
          <w:szCs w:val="21"/>
        </w:rPr>
        <w:t>；6.银行账户</w:t>
      </w:r>
      <w:r>
        <w:rPr>
          <w:szCs w:val="21"/>
          <w:u w:val="single"/>
        </w:rPr>
        <w:t xml:space="preserve">                         </w:t>
      </w:r>
      <w:r>
        <w:rPr>
          <w:szCs w:val="21"/>
        </w:rPr>
        <w:t>。</w:t>
      </w:r>
    </w:p>
    <w:p>
      <w:pPr>
        <w:spacing w:beforeLines="50" w:before="120" w:line="360" w:lineRule="auto"/>
        <w:jc w:val="left"/>
        <w:rPr>
          <w:szCs w:val="21"/>
        </w:rPr>
      </w:pPr>
    </w:p>
    <w:p>
      <w:pPr>
        <w:spacing w:beforeLines="50" w:before="120" w:line="360" w:lineRule="auto"/>
        <w:jc w:val="left"/>
        <w:rPr>
          <w:szCs w:val="21"/>
          <w:u w:val="single"/>
        </w:rPr>
      </w:pPr>
      <w:r>
        <w:rPr>
          <w:szCs w:val="21"/>
        </w:rPr>
        <w:t>供应商</w:t>
      </w:r>
      <w:r>
        <w:rPr>
          <w:rFonts w:hint="eastAsia"/>
          <w:szCs w:val="21"/>
        </w:rPr>
        <w:t>名称(公章</w:t>
      </w:r>
      <w:r>
        <w:rPr>
          <w:szCs w:val="21"/>
        </w:rPr>
        <w:t>)：</w:t>
      </w:r>
      <w:r>
        <w:rPr>
          <w:szCs w:val="21"/>
          <w:u w:val="single"/>
        </w:rPr>
        <w:t xml:space="preserve">                              </w:t>
      </w:r>
    </w:p>
    <w:p>
      <w:pPr>
        <w:spacing w:beforeLines="50" w:before="120" w:line="360" w:lineRule="auto"/>
        <w:jc w:val="left"/>
        <w:rPr>
          <w:szCs w:val="21"/>
        </w:rPr>
      </w:pPr>
      <w:r>
        <w:rPr>
          <w:szCs w:val="21"/>
        </w:rPr>
        <w:t>供应商地址：</w:t>
      </w:r>
      <w:r>
        <w:rPr>
          <w:szCs w:val="21"/>
          <w:u w:val="single"/>
        </w:rPr>
        <w:t xml:space="preserve">                                     </w:t>
      </w:r>
    </w:p>
    <w:p>
      <w:pPr>
        <w:wordWrap w:val="0"/>
        <w:spacing w:beforeLines="50" w:before="120" w:line="360" w:lineRule="auto"/>
        <w:jc w:val="right"/>
        <w:rPr>
          <w:szCs w:val="21"/>
        </w:rPr>
      </w:pPr>
      <w:r>
        <w:rPr>
          <w:szCs w:val="21"/>
        </w:rPr>
        <w:t>日期：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beforeLines="50" w:before="120"/>
        <w:rPr>
          <w:szCs w:val="21"/>
        </w:rPr>
      </w:pPr>
      <w:r>
        <w:rPr>
          <w:szCs w:val="21"/>
        </w:rPr>
        <w:t>说明：</w:t>
      </w:r>
    </w:p>
    <w:p>
      <w:pPr>
        <w:spacing w:line="340" w:lineRule="exact"/>
        <w:ind w:firstLineChars="200" w:firstLine="420"/>
        <w:rPr>
          <w:szCs w:val="21"/>
        </w:rPr>
      </w:pPr>
      <w:r>
        <w:rPr>
          <w:szCs w:val="21"/>
        </w:rPr>
        <w:t>（1）为保障资金安全，上述账户不能为私人账户。</w:t>
      </w:r>
    </w:p>
    <w:p>
      <w:pPr>
        <w:spacing w:line="340" w:lineRule="exact"/>
        <w:ind w:firstLineChars="200" w:firstLine="420"/>
        <w:rPr>
          <w:szCs w:val="21"/>
        </w:rPr>
      </w:pPr>
      <w:r>
        <w:rPr>
          <w:szCs w:val="21"/>
        </w:rPr>
        <w:t>（2）如因未按要求缴纳磋商保证金，导致磋商保证金无法退还或丢失等可能产生的一切后果由供应商自行负责。如需要，采购代理机构将按上述所填信息办理代理服务费发票事宜。如所填信息有误导致开票信息错误等可能产生的一切后果由供应商自行负责。</w:t>
      </w:r>
    </w:p>
    <w:p>
      <w:pPr>
        <w:snapToGrid w:val="0"/>
        <w:spacing w:before="50" w:afterLines="50" w:after="120"/>
        <w:jc w:val="left"/>
        <w:rPr>
          <w:bCs/>
          <w:sz w:val="24"/>
        </w:rPr>
      </w:pPr>
      <w:r>
        <w:rPr>
          <w:szCs w:val="21"/>
        </w:rPr>
        <w:br w:type="page"/>
      </w:r>
    </w:p>
    <w:p>
      <w:pPr>
        <w:snapToGrid w:val="0"/>
        <w:spacing w:beforeLines="50" w:before="120" w:after="50" w:line="440" w:lineRule="exact"/>
        <w:jc w:val="center"/>
        <w:outlineLvl w:val="1"/>
        <w:rPr>
          <w:bCs/>
          <w:sz w:val="24"/>
        </w:rPr>
      </w:pPr>
      <w:r>
        <w:rPr>
          <w:bCs/>
          <w:sz w:val="24"/>
        </w:rPr>
        <w:t>第三部分 报价文件</w:t>
      </w:r>
    </w:p>
    <w:p>
      <w:pPr>
        <w:jc w:val="center"/>
        <w:rPr>
          <w:b/>
          <w:bCs/>
          <w:szCs w:val="21"/>
        </w:rPr>
      </w:pPr>
    </w:p>
    <w:p>
      <w:r>
        <w:t>1．</w:t>
      </w:r>
      <w:r>
        <w:rPr>
          <w:rFonts w:hint="eastAsia"/>
        </w:rPr>
        <w:t>响应</w:t>
      </w:r>
      <w:r>
        <w:t>函格式：</w:t>
      </w:r>
    </w:p>
    <w:p>
      <w:pPr>
        <w:jc w:val="center"/>
        <w:rPr>
          <w:b/>
          <w:bCs/>
          <w:szCs w:val="21"/>
        </w:rPr>
      </w:pPr>
    </w:p>
    <w:p>
      <w:pPr>
        <w:jc w:val="center"/>
        <w:rPr>
          <w:b/>
          <w:szCs w:val="21"/>
        </w:rPr>
      </w:pPr>
      <w:r>
        <w:rPr>
          <w:b/>
          <w:szCs w:val="21"/>
        </w:rPr>
        <w:t>响 应 函</w:t>
      </w:r>
    </w:p>
    <w:p>
      <w:pPr>
        <w:rPr>
          <w:b/>
          <w:szCs w:val="21"/>
        </w:rPr>
      </w:pPr>
    </w:p>
    <w:p>
      <w:pPr>
        <w:snapToGrid w:val="0"/>
        <w:spacing w:beforeLines="50" w:before="120" w:after="50" w:line="360" w:lineRule="exact"/>
        <w:rPr>
          <w:szCs w:val="21"/>
        </w:rPr>
      </w:pPr>
      <w:r>
        <w:rPr>
          <w:szCs w:val="21"/>
        </w:rPr>
        <w:t>致：</w:t>
      </w:r>
      <w:bookmarkStart w:id="148" w:name="_Hlk19051378"/>
      <w:r>
        <w:rPr>
          <w:i/>
          <w:iCs/>
          <w:szCs w:val="21"/>
          <w:u w:val="single"/>
        </w:rPr>
        <w:t>（采购</w:t>
      </w:r>
      <w:r>
        <w:rPr>
          <w:rFonts w:hint="eastAsia"/>
          <w:i/>
          <w:iCs/>
          <w:szCs w:val="21"/>
          <w:u w:val="single"/>
        </w:rPr>
        <w:t>人</w:t>
      </w:r>
      <w:r>
        <w:rPr>
          <w:i/>
          <w:iCs/>
          <w:szCs w:val="21"/>
          <w:u w:val="single"/>
        </w:rPr>
        <w:t>名称）</w:t>
      </w:r>
      <w:bookmarkEnd w:id="148"/>
      <w:r>
        <w:rPr>
          <w:szCs w:val="21"/>
        </w:rPr>
        <w:t>：</w:t>
      </w:r>
    </w:p>
    <w:p>
      <w:pPr>
        <w:rPr>
          <w:b/>
          <w:szCs w:val="21"/>
        </w:rPr>
      </w:pPr>
    </w:p>
    <w:p>
      <w:pPr>
        <w:spacing w:line="360" w:lineRule="auto"/>
        <w:ind w:firstLineChars="200" w:firstLine="420"/>
        <w:rPr>
          <w:szCs w:val="21"/>
        </w:rPr>
      </w:pPr>
      <w:r>
        <w:rPr>
          <w:szCs w:val="21"/>
        </w:rPr>
        <w:t>1.根据你方项目编号为</w:t>
      </w:r>
      <w:r>
        <w:rPr>
          <w:szCs w:val="21"/>
          <w:u w:val="single"/>
        </w:rPr>
        <w:t xml:space="preserve">  </w:t>
      </w:r>
      <w:r>
        <w:rPr>
          <w:i/>
          <w:iCs/>
          <w:szCs w:val="21"/>
          <w:u w:val="single"/>
        </w:rPr>
        <w:t>（项目编号）</w:t>
      </w:r>
      <w:r>
        <w:rPr>
          <w:szCs w:val="21"/>
          <w:u w:val="single"/>
        </w:rPr>
        <w:t xml:space="preserve">  </w:t>
      </w:r>
      <w:r>
        <w:rPr>
          <w:szCs w:val="21"/>
        </w:rPr>
        <w:t>的</w:t>
      </w:r>
      <w:r>
        <w:rPr>
          <w:szCs w:val="21"/>
          <w:u w:val="single"/>
        </w:rPr>
        <w:t xml:space="preserve">  </w:t>
      </w:r>
      <w:r>
        <w:rPr>
          <w:i/>
          <w:iCs/>
          <w:szCs w:val="21"/>
          <w:u w:val="single"/>
        </w:rPr>
        <w:t>（工程项目名称）</w:t>
      </w:r>
      <w:r>
        <w:rPr>
          <w:szCs w:val="21"/>
          <w:u w:val="single"/>
        </w:rPr>
        <w:t xml:space="preserve">  </w:t>
      </w:r>
      <w:r>
        <w:rPr>
          <w:szCs w:val="21"/>
        </w:rPr>
        <w:t>工程采购文件，遵照《中华人民共和国政府采购法》、《中华人民共和国</w:t>
      </w:r>
      <w:r>
        <w:rPr>
          <w:rFonts w:hint="eastAsia"/>
          <w:szCs w:val="21"/>
        </w:rPr>
        <w:t>建筑</w:t>
      </w:r>
      <w:r>
        <w:rPr>
          <w:szCs w:val="21"/>
        </w:rPr>
        <w:t>法》等有关规定，经踏勘项目现场和研究上述采购文件的供应商须知、合同条款、图纸、工程建设内容和工程量清单及其他有关文件后，我方愿以人民币</w:t>
      </w:r>
      <w:r>
        <w:rPr>
          <w:szCs w:val="21"/>
          <w:u w:val="single"/>
        </w:rPr>
        <w:t>（大写）  元（RMB￥   元）</w:t>
      </w:r>
      <w:r>
        <w:rPr>
          <w:szCs w:val="21"/>
        </w:rPr>
        <w:t>的磋商报价并按上述图纸、合同条款、工程建设内容和工程量清单的条件要求承包上述工程的施工、竣工，并承担任何质量缺陷保修责任。我方保证工程质量达到</w:t>
      </w:r>
      <w:r>
        <w:rPr>
          <w:szCs w:val="21"/>
          <w:u w:val="single"/>
        </w:rPr>
        <w:t xml:space="preserve">     </w:t>
      </w:r>
      <w:r>
        <w:rPr>
          <w:rFonts w:hint="eastAsia"/>
          <w:szCs w:val="21"/>
        </w:rPr>
        <w:t>标准</w:t>
      </w:r>
      <w:r>
        <w:rPr>
          <w:szCs w:val="21"/>
        </w:rPr>
        <w:t>。</w:t>
      </w:r>
    </w:p>
    <w:p>
      <w:pPr>
        <w:spacing w:line="360" w:lineRule="auto"/>
        <w:ind w:firstLineChars="200" w:firstLine="420"/>
        <w:rPr>
          <w:szCs w:val="21"/>
        </w:rPr>
      </w:pPr>
      <w:r>
        <w:rPr>
          <w:szCs w:val="21"/>
        </w:rPr>
        <w:t>2.我方已详细审核全部采购文件，包括修改文件（如有时）及有关附件。</w:t>
      </w:r>
    </w:p>
    <w:p>
      <w:pPr>
        <w:spacing w:line="360" w:lineRule="auto"/>
        <w:ind w:firstLineChars="200" w:firstLine="420"/>
        <w:rPr>
          <w:szCs w:val="21"/>
        </w:rPr>
      </w:pPr>
      <w:r>
        <w:rPr>
          <w:szCs w:val="21"/>
        </w:rPr>
        <w:t>3.我方承认响应函附录是我方响应函的组成部分。</w:t>
      </w:r>
    </w:p>
    <w:p>
      <w:pPr>
        <w:spacing w:line="360" w:lineRule="auto"/>
        <w:ind w:firstLineChars="200" w:firstLine="420"/>
        <w:rPr>
          <w:szCs w:val="21"/>
        </w:rPr>
      </w:pPr>
      <w:r>
        <w:rPr>
          <w:szCs w:val="21"/>
        </w:rPr>
        <w:t>4.一旦我方成交，我方保证按合同书中规定的工期</w:t>
      </w:r>
      <w:r>
        <w:rPr>
          <w:szCs w:val="21"/>
          <w:u w:val="single"/>
        </w:rPr>
        <w:t xml:space="preserve">        </w:t>
      </w:r>
      <w:r>
        <w:rPr>
          <w:szCs w:val="21"/>
        </w:rPr>
        <w:t>日历天内完成并移交全部工程</w:t>
      </w:r>
      <w:r>
        <w:rPr>
          <w:rFonts w:hint="eastAsia"/>
          <w:szCs w:val="21"/>
        </w:rPr>
        <w:t>，并承诺</w:t>
      </w:r>
      <w:r>
        <w:rPr>
          <w:szCs w:val="21"/>
        </w:rPr>
        <w:t>不分包及转包他人。</w:t>
      </w:r>
    </w:p>
    <w:p>
      <w:pPr>
        <w:spacing w:line="360" w:lineRule="auto"/>
        <w:ind w:firstLineChars="200" w:firstLine="420"/>
        <w:rPr>
          <w:szCs w:val="21"/>
        </w:rPr>
      </w:pPr>
      <w:r>
        <w:rPr>
          <w:szCs w:val="21"/>
        </w:rPr>
        <w:t>5.如果我方成交，我方将按照文件规定提交履约保证金作为履约担保。</w:t>
      </w:r>
    </w:p>
    <w:p>
      <w:pPr>
        <w:spacing w:line="360" w:lineRule="auto"/>
        <w:ind w:firstLineChars="200" w:firstLine="420"/>
        <w:rPr>
          <w:szCs w:val="21"/>
        </w:rPr>
      </w:pPr>
      <w:r>
        <w:rPr>
          <w:szCs w:val="21"/>
        </w:rPr>
        <w:t>6.我方同意所提交的响应文件在采购文件的“供应商须知”中规定的</w:t>
      </w:r>
      <w:r>
        <w:rPr>
          <w:rFonts w:hint="eastAsia"/>
          <w:szCs w:val="21"/>
        </w:rPr>
        <w:t>响应</w:t>
      </w:r>
      <w:r>
        <w:rPr>
          <w:szCs w:val="21"/>
        </w:rPr>
        <w:t>有效期内有效，在此期间内如果成交，我方将受此约束。</w:t>
      </w:r>
    </w:p>
    <w:p>
      <w:pPr>
        <w:spacing w:line="360" w:lineRule="auto"/>
        <w:ind w:firstLineChars="200" w:firstLine="420"/>
        <w:rPr>
          <w:szCs w:val="21"/>
        </w:rPr>
      </w:pPr>
      <w:r>
        <w:rPr>
          <w:szCs w:val="21"/>
        </w:rPr>
        <w:t>7.除非另外达成协议并生效，你方的成交通知书和本响应文件将成为约束双方的合同文件的组成部分。</w:t>
      </w:r>
    </w:p>
    <w:p>
      <w:pPr>
        <w:spacing w:line="360" w:lineRule="auto"/>
        <w:ind w:firstLineChars="200" w:firstLine="420"/>
        <w:rPr>
          <w:szCs w:val="21"/>
        </w:rPr>
      </w:pPr>
      <w:r>
        <w:rPr>
          <w:szCs w:val="21"/>
        </w:rPr>
        <w:t>8.我方将与本响应函一起，提交人民币</w:t>
      </w:r>
      <w:r>
        <w:rPr>
          <w:rFonts w:hint="eastAsia"/>
          <w:szCs w:val="21"/>
          <w:u w:val="single"/>
        </w:rPr>
        <w:t xml:space="preserve"> </w:t>
      </w:r>
      <w:r>
        <w:rPr>
          <w:szCs w:val="21"/>
          <w:u w:val="single"/>
        </w:rPr>
        <w:t xml:space="preserve">       </w:t>
      </w:r>
      <w:r>
        <w:rPr>
          <w:rFonts w:hint="eastAsia"/>
          <w:szCs w:val="21"/>
          <w:u w:val="single"/>
        </w:rPr>
        <w:t xml:space="preserve">  </w:t>
      </w:r>
      <w:r>
        <w:rPr>
          <w:szCs w:val="21"/>
        </w:rPr>
        <w:t>元作为磋商保证金。</w:t>
      </w:r>
    </w:p>
    <w:p>
      <w:pPr>
        <w:spacing w:line="360" w:lineRule="auto"/>
        <w:ind w:firstLineChars="200" w:firstLine="420"/>
        <w:rPr>
          <w:szCs w:val="21"/>
        </w:rPr>
      </w:pPr>
      <w:bookmarkStart w:id="149" w:name="_Hlk33002211"/>
      <w:r>
        <w:rPr>
          <w:rFonts w:hint="eastAsia"/>
          <w:szCs w:val="21"/>
        </w:rPr>
        <w:t>9</w:t>
      </w:r>
      <w:r>
        <w:rPr>
          <w:szCs w:val="21"/>
        </w:rPr>
        <w:t>.</w:t>
      </w:r>
      <w:r>
        <w:rPr>
          <w:rFonts w:hint="eastAsia"/>
        </w:rPr>
        <w:t xml:space="preserve"> </w:t>
      </w:r>
      <w:r>
        <w:rPr>
          <w:rFonts w:hint="eastAsia"/>
          <w:szCs w:val="21"/>
        </w:rPr>
        <w:t>与本项目有关的一切正式往来信函请寄：</w:t>
      </w:r>
    </w:p>
    <w:p>
      <w:pPr>
        <w:spacing w:line="360" w:lineRule="auto"/>
        <w:ind w:firstLineChars="200" w:firstLine="420"/>
        <w:rPr>
          <w:szCs w:val="21"/>
          <w:u w:val="single"/>
        </w:rPr>
      </w:pPr>
      <w:r>
        <w:rPr>
          <w:rFonts w:hint="eastAsia"/>
          <w:szCs w:val="21"/>
        </w:rPr>
        <w:t>地址：</w:t>
      </w:r>
      <w:r>
        <w:rPr>
          <w:rFonts w:hint="eastAsia"/>
          <w:szCs w:val="21"/>
          <w:u w:val="single"/>
        </w:rPr>
        <w:t xml:space="preserve">                     </w:t>
      </w:r>
      <w:r>
        <w:rPr>
          <w:rFonts w:hint="eastAsia"/>
          <w:szCs w:val="21"/>
        </w:rPr>
        <w:t xml:space="preserve"> 邮编：</w:t>
      </w:r>
      <w:r>
        <w:rPr>
          <w:rFonts w:hint="eastAsia"/>
          <w:szCs w:val="21"/>
          <w:u w:val="single"/>
        </w:rPr>
        <w:t xml:space="preserve">           </w:t>
      </w:r>
      <w:r>
        <w:rPr>
          <w:rFonts w:hint="eastAsia"/>
          <w:szCs w:val="21"/>
        </w:rPr>
        <w:t>电话：</w:t>
      </w:r>
      <w:r>
        <w:rPr>
          <w:rFonts w:hint="eastAsia"/>
          <w:szCs w:val="21"/>
          <w:u w:val="single"/>
        </w:rPr>
        <w:t xml:space="preserve">            </w:t>
      </w:r>
    </w:p>
    <w:p>
      <w:pPr>
        <w:spacing w:line="360" w:lineRule="auto"/>
        <w:ind w:firstLineChars="200" w:firstLine="420"/>
        <w:rPr>
          <w:szCs w:val="21"/>
          <w:u w:val="single"/>
        </w:rPr>
      </w:pPr>
      <w:r>
        <w:rPr>
          <w:rFonts w:hint="eastAsia"/>
          <w:szCs w:val="21"/>
        </w:rPr>
        <w:t>传真：</w:t>
      </w:r>
      <w:r>
        <w:rPr>
          <w:rFonts w:hint="eastAsia"/>
          <w:szCs w:val="21"/>
          <w:u w:val="single"/>
        </w:rPr>
        <w:t xml:space="preserve">             </w:t>
      </w:r>
    </w:p>
    <w:p>
      <w:pPr>
        <w:spacing w:line="360" w:lineRule="auto"/>
        <w:ind w:firstLineChars="200" w:firstLine="420"/>
        <w:rPr>
          <w:szCs w:val="21"/>
          <w:u w:val="single"/>
        </w:rPr>
      </w:pPr>
      <w:r>
        <w:rPr>
          <w:rFonts w:hint="eastAsia"/>
          <w:szCs w:val="21"/>
        </w:rPr>
        <w:t>供应商代表姓名</w:t>
      </w:r>
      <w:r>
        <w:rPr>
          <w:rFonts w:hint="eastAsia"/>
          <w:szCs w:val="21"/>
          <w:u w:val="single"/>
        </w:rPr>
        <w:t xml:space="preserve">          </w:t>
      </w:r>
      <w:r>
        <w:rPr>
          <w:rFonts w:hint="eastAsia"/>
          <w:szCs w:val="21"/>
        </w:rPr>
        <w:t xml:space="preserve"> 职务：</w:t>
      </w:r>
      <w:r>
        <w:rPr>
          <w:rFonts w:hint="eastAsia"/>
          <w:szCs w:val="21"/>
          <w:u w:val="single"/>
        </w:rPr>
        <w:t xml:space="preserve">            </w:t>
      </w:r>
      <w:r>
        <w:rPr>
          <w:rFonts w:hint="eastAsia"/>
          <w:szCs w:val="21"/>
        </w:rPr>
        <w:t>邮箱：</w:t>
      </w:r>
      <w:r>
        <w:rPr>
          <w:rFonts w:hint="eastAsia"/>
          <w:szCs w:val="21"/>
          <w:u w:val="single"/>
        </w:rPr>
        <w:t xml:space="preserve">              </w:t>
      </w:r>
    </w:p>
    <w:p>
      <w:pPr>
        <w:spacing w:line="360" w:lineRule="auto"/>
        <w:ind w:firstLineChars="200" w:firstLine="420"/>
        <w:rPr>
          <w:szCs w:val="21"/>
        </w:rPr>
      </w:pPr>
      <w:bookmarkEnd w:id="149"/>
    </w:p>
    <w:p>
      <w:pPr>
        <w:spacing w:line="360" w:lineRule="auto"/>
        <w:rPr>
          <w:szCs w:val="21"/>
        </w:rPr>
      </w:pPr>
    </w:p>
    <w:p>
      <w:pPr>
        <w:spacing w:line="360" w:lineRule="auto"/>
        <w:rPr>
          <w:szCs w:val="21"/>
        </w:rPr>
      </w:pPr>
      <w:bookmarkStart w:id="150" w:name="_Hlk89191117"/>
      <w:r>
        <w:rPr>
          <w:szCs w:val="21"/>
        </w:rPr>
        <w:t>供应商名称</w:t>
      </w:r>
      <w:r>
        <w:rPr>
          <w:rFonts w:hint="eastAsia"/>
          <w:szCs w:val="21"/>
        </w:rPr>
        <w:t>(公章</w:t>
      </w:r>
      <w:r>
        <w:rPr>
          <w:szCs w:val="21"/>
        </w:rPr>
        <w:t>)：</w:t>
      </w:r>
      <w:r>
        <w:rPr>
          <w:szCs w:val="21"/>
          <w:u w:val="single"/>
        </w:rPr>
        <w:t xml:space="preserve">                  </w:t>
      </w:r>
    </w:p>
    <w:p>
      <w:pPr>
        <w:spacing w:line="360" w:lineRule="auto"/>
        <w:rPr>
          <w:szCs w:val="21"/>
        </w:rPr>
      </w:pPr>
      <w:bookmarkEnd w:id="150"/>
    </w:p>
    <w:p>
      <w:pPr>
        <w:spacing w:line="360" w:lineRule="auto"/>
        <w:rPr>
          <w:szCs w:val="21"/>
        </w:rPr>
      </w:pPr>
      <w:r>
        <w:rPr>
          <w:szCs w:val="21"/>
        </w:rPr>
        <w:t>日期：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jc w:val="left"/>
        <w:rPr>
          <w:b/>
          <w:szCs w:val="21"/>
        </w:rPr>
      </w:pPr>
      <w:r>
        <w:rPr>
          <w:b/>
          <w:szCs w:val="21"/>
        </w:rPr>
        <w:br w:type="page"/>
      </w:r>
      <w:r>
        <w:t>2．</w:t>
      </w:r>
      <w:r>
        <w:rPr>
          <w:rFonts w:hint="eastAsia"/>
        </w:rPr>
        <w:t>响应函附录</w:t>
      </w:r>
      <w:r>
        <w:t>格式：</w:t>
      </w:r>
    </w:p>
    <w:p>
      <w:pPr>
        <w:jc w:val="center"/>
        <w:rPr>
          <w:b/>
          <w:szCs w:val="21"/>
        </w:rPr>
      </w:pPr>
      <w:r>
        <w:rPr>
          <w:b/>
          <w:szCs w:val="21"/>
        </w:rPr>
        <w:t>响应函附录</w:t>
      </w:r>
    </w:p>
    <w:p>
      <w:pPr>
        <w:rPr>
          <w:b/>
          <w:szCs w:val="21"/>
        </w:rPr>
      </w:pPr>
    </w:p>
    <w:p>
      <w:pPr>
        <w:ind w:firstLineChars="245" w:firstLine="515"/>
        <w:rPr>
          <w:szCs w:val="21"/>
        </w:rPr>
      </w:pPr>
      <w:r>
        <w:rPr>
          <w:szCs w:val="21"/>
        </w:rPr>
        <w:t>项目名称：</w:t>
      </w:r>
      <w:r>
        <w:rPr>
          <w:szCs w:val="21"/>
          <w:u w:val="single"/>
        </w:rPr>
        <w:t xml:space="preserve">                               </w:t>
      </w:r>
      <w:r>
        <w:rPr>
          <w:szCs w:val="21"/>
        </w:rPr>
        <w:t xml:space="preserve"> 项目编号：</w:t>
      </w:r>
      <w:r>
        <w:rPr>
          <w:szCs w:val="21"/>
          <w:u w:val="single"/>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2"/>
        <w:gridCol w:w="1985"/>
        <w:gridCol w:w="2126"/>
        <w:gridCol w:w="1984"/>
        <w:gridCol w:w="1843"/>
      </w:tblGrid>
      <w:tr>
        <w:trPr>
          <w:trHeight w:val="567"/>
        </w:trPr>
        <w:tc>
          <w:tcPr>
            <w:tcW w:w="992" w:type="dxa"/>
            <w:tcBorders>
              <w:left w:val="single" w:sz="4" w:space="0" w:color="auto"/>
              <w:right w:val="single" w:sz="4" w:space="0" w:color="auto"/>
            </w:tcBorders>
            <w:vAlign w:val="center"/>
          </w:tcPr>
          <w:p>
            <w:pPr>
              <w:jc w:val="center"/>
              <w:rPr>
                <w:szCs w:val="21"/>
              </w:rPr>
            </w:pPr>
            <w:r>
              <w:rPr>
                <w:szCs w:val="21"/>
              </w:rPr>
              <w:t>序 号</w:t>
            </w:r>
          </w:p>
        </w:tc>
        <w:tc>
          <w:tcPr>
            <w:tcW w:w="1985" w:type="dxa"/>
            <w:tcBorders>
              <w:left w:val="single" w:sz="4" w:space="0" w:color="auto"/>
              <w:right w:val="single" w:sz="4" w:space="0" w:color="auto"/>
            </w:tcBorders>
            <w:vAlign w:val="center"/>
          </w:tcPr>
          <w:p>
            <w:pPr>
              <w:jc w:val="center"/>
              <w:rPr>
                <w:szCs w:val="21"/>
              </w:rPr>
            </w:pPr>
            <w:r>
              <w:rPr>
                <w:szCs w:val="21"/>
              </w:rPr>
              <w:t>条款内容</w:t>
            </w:r>
          </w:p>
        </w:tc>
        <w:tc>
          <w:tcPr>
            <w:tcW w:w="2126" w:type="dxa"/>
            <w:tcBorders>
              <w:left w:val="single" w:sz="4" w:space="0" w:color="auto"/>
              <w:right w:val="single" w:sz="4" w:space="0" w:color="auto"/>
            </w:tcBorders>
            <w:vAlign w:val="center"/>
          </w:tcPr>
          <w:p>
            <w:pPr>
              <w:jc w:val="center"/>
              <w:rPr>
                <w:szCs w:val="21"/>
              </w:rPr>
            </w:pPr>
            <w:r>
              <w:rPr>
                <w:szCs w:val="21"/>
              </w:rPr>
              <w:t>合同条款号</w:t>
            </w:r>
          </w:p>
        </w:tc>
        <w:tc>
          <w:tcPr>
            <w:tcW w:w="1984" w:type="dxa"/>
            <w:tcBorders>
              <w:left w:val="single" w:sz="4" w:space="0" w:color="auto"/>
              <w:right w:val="single" w:sz="4" w:space="0" w:color="auto"/>
            </w:tcBorders>
            <w:vAlign w:val="center"/>
          </w:tcPr>
          <w:p>
            <w:pPr>
              <w:jc w:val="center"/>
              <w:rPr>
                <w:szCs w:val="21"/>
              </w:rPr>
            </w:pPr>
            <w:r>
              <w:rPr>
                <w:szCs w:val="21"/>
              </w:rPr>
              <w:t>约定内容</w:t>
            </w:r>
          </w:p>
        </w:tc>
        <w:tc>
          <w:tcPr>
            <w:tcW w:w="1843" w:type="dxa"/>
            <w:tcBorders>
              <w:left w:val="single" w:sz="4" w:space="0" w:color="auto"/>
              <w:right w:val="single" w:sz="4" w:space="0" w:color="auto"/>
            </w:tcBorders>
            <w:vAlign w:val="center"/>
          </w:tcPr>
          <w:p>
            <w:pPr>
              <w:jc w:val="center"/>
              <w:rPr>
                <w:szCs w:val="21"/>
              </w:rPr>
            </w:pPr>
            <w:r>
              <w:rPr>
                <w:szCs w:val="21"/>
              </w:rPr>
              <w:t>备注</w:t>
            </w: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w:t>
            </w:r>
          </w:p>
        </w:tc>
        <w:tc>
          <w:tcPr>
            <w:tcW w:w="1985" w:type="dxa"/>
            <w:tcBorders>
              <w:top w:val="single" w:sz="4" w:space="0" w:color="auto"/>
              <w:left w:val="single" w:sz="4" w:space="0" w:color="auto"/>
              <w:right w:val="single" w:sz="4" w:space="0" w:color="auto"/>
            </w:tcBorders>
            <w:vAlign w:val="center"/>
          </w:tcPr>
          <w:p>
            <w:pPr>
              <w:rPr>
                <w:szCs w:val="21"/>
              </w:rPr>
            </w:pPr>
            <w:r>
              <w:rPr>
                <w:szCs w:val="21"/>
              </w:rPr>
              <w:t>项目经理</w:t>
            </w:r>
          </w:p>
        </w:tc>
        <w:tc>
          <w:tcPr>
            <w:tcW w:w="2126" w:type="dxa"/>
            <w:tcBorders>
              <w:top w:val="single" w:sz="4" w:space="0" w:color="auto"/>
              <w:left w:val="single" w:sz="4" w:space="0" w:color="auto"/>
              <w:right w:val="single" w:sz="4" w:space="0" w:color="auto"/>
            </w:tcBorders>
            <w:tcMar>
              <w:left w:w="170" w:type="dxa"/>
            </w:tcMar>
            <w:vAlign w:val="center"/>
          </w:tcPr>
          <w:p>
            <w:pPr>
              <w:jc w:val="center"/>
              <w:rPr>
                <w:szCs w:val="21"/>
              </w:rPr>
            </w:pPr>
            <w:r>
              <w:rPr>
                <w:szCs w:val="21"/>
              </w:rPr>
              <w:t>专用条款</w:t>
            </w:r>
          </w:p>
        </w:tc>
        <w:tc>
          <w:tcPr>
            <w:tcW w:w="1984" w:type="dxa"/>
            <w:tcBorders>
              <w:top w:val="single" w:sz="4" w:space="0" w:color="auto"/>
              <w:left w:val="single" w:sz="4" w:space="0" w:color="auto"/>
              <w:right w:val="single" w:sz="4" w:space="0" w:color="auto"/>
            </w:tcBorders>
            <w:vAlign w:val="center"/>
          </w:tcPr>
          <w:p>
            <w:pPr>
              <w:rPr>
                <w:szCs w:val="21"/>
              </w:rPr>
            </w:pPr>
            <w:r>
              <w:rPr>
                <w:szCs w:val="21"/>
              </w:rPr>
              <w:t>姓名：</w:t>
            </w: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2</w:t>
            </w:r>
          </w:p>
        </w:tc>
        <w:tc>
          <w:tcPr>
            <w:tcW w:w="1985" w:type="dxa"/>
            <w:tcBorders>
              <w:top w:val="single" w:sz="4" w:space="0" w:color="auto"/>
              <w:left w:val="single" w:sz="4" w:space="0" w:color="auto"/>
              <w:right w:val="single" w:sz="4" w:space="0" w:color="auto"/>
            </w:tcBorders>
            <w:vAlign w:val="center"/>
          </w:tcPr>
          <w:p>
            <w:pPr>
              <w:rPr>
                <w:szCs w:val="21"/>
              </w:rPr>
            </w:pPr>
            <w:r>
              <w:rPr>
                <w:rFonts w:hint="eastAsia"/>
                <w:szCs w:val="21"/>
              </w:rPr>
              <w:t>响应</w:t>
            </w:r>
            <w:r>
              <w:rPr>
                <w:szCs w:val="21"/>
              </w:rPr>
              <w:t>有效期</w:t>
            </w:r>
          </w:p>
        </w:tc>
        <w:tc>
          <w:tcPr>
            <w:tcW w:w="2126" w:type="dxa"/>
            <w:tcBorders>
              <w:top w:val="single" w:sz="4" w:space="0" w:color="auto"/>
              <w:left w:val="single" w:sz="4" w:space="0" w:color="auto"/>
              <w:right w:val="single" w:sz="4" w:space="0" w:color="auto"/>
            </w:tcBorders>
            <w:tcMar>
              <w:left w:w="170" w:type="dxa"/>
            </w:tcMar>
            <w:vAlign w:val="center"/>
          </w:tcPr>
          <w:p>
            <w:pPr>
              <w:rPr>
                <w:szCs w:val="21"/>
              </w:rPr>
            </w:pPr>
          </w:p>
        </w:tc>
        <w:tc>
          <w:tcPr>
            <w:tcW w:w="1984" w:type="dxa"/>
            <w:tcBorders>
              <w:top w:val="single" w:sz="4" w:space="0" w:color="auto"/>
              <w:left w:val="single" w:sz="4" w:space="0" w:color="auto"/>
              <w:right w:val="single" w:sz="4" w:space="0" w:color="auto"/>
            </w:tcBorders>
            <w:vAlign w:val="center"/>
          </w:tcPr>
          <w:p>
            <w:pPr>
              <w:jc w:val="center"/>
              <w:rPr>
                <w:szCs w:val="21"/>
                <w:u w:val="single"/>
              </w:rPr>
            </w:pPr>
            <w:r>
              <w:rPr>
                <w:szCs w:val="21"/>
                <w:u w:val="single"/>
              </w:rPr>
              <w:t xml:space="preserve">          </w:t>
            </w:r>
            <w:r>
              <w:rPr>
                <w:szCs w:val="21"/>
              </w:rPr>
              <w:t>日历天</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3</w:t>
            </w:r>
          </w:p>
        </w:tc>
        <w:tc>
          <w:tcPr>
            <w:tcW w:w="1985" w:type="dxa"/>
            <w:tcBorders>
              <w:top w:val="single" w:sz="4" w:space="0" w:color="auto"/>
              <w:left w:val="single" w:sz="4" w:space="0" w:color="auto"/>
              <w:right w:val="single" w:sz="4" w:space="0" w:color="auto"/>
            </w:tcBorders>
            <w:vAlign w:val="center"/>
          </w:tcPr>
          <w:p>
            <w:pPr>
              <w:rPr>
                <w:szCs w:val="21"/>
              </w:rPr>
            </w:pPr>
            <w:r>
              <w:rPr>
                <w:szCs w:val="21"/>
              </w:rPr>
              <w:t>工期</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r>
              <w:rPr>
                <w:szCs w:val="21"/>
              </w:rPr>
              <w:t>日历天</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4</w:t>
            </w:r>
          </w:p>
        </w:tc>
        <w:tc>
          <w:tcPr>
            <w:tcW w:w="1985" w:type="dxa"/>
            <w:tcBorders>
              <w:top w:val="single" w:sz="4" w:space="0" w:color="auto"/>
              <w:left w:val="single" w:sz="4" w:space="0" w:color="auto"/>
              <w:right w:val="single" w:sz="4" w:space="0" w:color="auto"/>
            </w:tcBorders>
            <w:vAlign w:val="center"/>
          </w:tcPr>
          <w:p>
            <w:pPr>
              <w:rPr>
                <w:szCs w:val="21"/>
              </w:rPr>
            </w:pPr>
            <w:r>
              <w:rPr>
                <w:szCs w:val="21"/>
              </w:rPr>
              <w:t>缺陷责任期</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5</w:t>
            </w:r>
          </w:p>
        </w:tc>
        <w:tc>
          <w:tcPr>
            <w:tcW w:w="1985" w:type="dxa"/>
            <w:tcBorders>
              <w:top w:val="single" w:sz="4" w:space="0" w:color="auto"/>
              <w:left w:val="single" w:sz="4" w:space="0" w:color="auto"/>
              <w:right w:val="single" w:sz="4" w:space="0" w:color="auto"/>
            </w:tcBorders>
            <w:vAlign w:val="center"/>
          </w:tcPr>
          <w:p>
            <w:pPr>
              <w:rPr>
                <w:szCs w:val="21"/>
              </w:rPr>
            </w:pPr>
            <w:r>
              <w:rPr>
                <w:szCs w:val="21"/>
              </w:rPr>
              <w:t>发包人支付担保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6</w:t>
            </w:r>
          </w:p>
        </w:tc>
        <w:tc>
          <w:tcPr>
            <w:tcW w:w="1985" w:type="dxa"/>
            <w:tcBorders>
              <w:top w:val="single" w:sz="4" w:space="0" w:color="auto"/>
              <w:left w:val="single" w:sz="4" w:space="0" w:color="auto"/>
              <w:right w:val="single" w:sz="4" w:space="0" w:color="auto"/>
            </w:tcBorders>
            <w:vAlign w:val="center"/>
          </w:tcPr>
          <w:p>
            <w:pPr>
              <w:rPr>
                <w:szCs w:val="21"/>
              </w:rPr>
            </w:pPr>
            <w:r>
              <w:rPr>
                <w:szCs w:val="21"/>
              </w:rPr>
              <w:t>承包人履约担保金额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7</w:t>
            </w:r>
          </w:p>
        </w:tc>
        <w:tc>
          <w:tcPr>
            <w:tcW w:w="1985" w:type="dxa"/>
            <w:tcBorders>
              <w:top w:val="single" w:sz="4" w:space="0" w:color="auto"/>
              <w:left w:val="single" w:sz="4" w:space="0" w:color="auto"/>
              <w:right w:val="single" w:sz="4" w:space="0" w:color="auto"/>
            </w:tcBorders>
            <w:vAlign w:val="center"/>
          </w:tcPr>
          <w:p>
            <w:pPr>
              <w:rPr>
                <w:szCs w:val="21"/>
              </w:rPr>
            </w:pPr>
            <w:r>
              <w:rPr>
                <w:szCs w:val="21"/>
              </w:rPr>
              <w:t>逾期竣工违约金</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rPr>
                <w:szCs w:val="21"/>
              </w:rPr>
            </w:pPr>
            <w:r>
              <w:rPr>
                <w:szCs w:val="21"/>
              </w:rPr>
              <w:t>合同价款</w:t>
            </w:r>
            <w:r>
              <w:rPr>
                <w:szCs w:val="21"/>
                <w:u w:val="single"/>
              </w:rPr>
              <w:t xml:space="preserve">    </w:t>
            </w:r>
            <w:r>
              <w:rPr>
                <w:szCs w:val="21"/>
              </w:rPr>
              <w:t>%/天</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8</w:t>
            </w:r>
          </w:p>
        </w:tc>
        <w:tc>
          <w:tcPr>
            <w:tcW w:w="1985" w:type="dxa"/>
            <w:tcBorders>
              <w:top w:val="single" w:sz="4" w:space="0" w:color="auto"/>
              <w:left w:val="single" w:sz="4" w:space="0" w:color="auto"/>
              <w:right w:val="single" w:sz="4" w:space="0" w:color="auto"/>
            </w:tcBorders>
            <w:vAlign w:val="center"/>
          </w:tcPr>
          <w:p>
            <w:pPr>
              <w:rPr>
                <w:szCs w:val="21"/>
              </w:rPr>
            </w:pPr>
            <w:r>
              <w:rPr>
                <w:szCs w:val="21"/>
              </w:rPr>
              <w:t>逾期竣工违约金最高限额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rPr>
                <w:szCs w:val="21"/>
              </w:rPr>
            </w:pPr>
            <w:r>
              <w:rPr>
                <w:szCs w:val="21"/>
              </w:rPr>
              <w:t>合同价款</w:t>
            </w: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9</w:t>
            </w:r>
          </w:p>
        </w:tc>
        <w:tc>
          <w:tcPr>
            <w:tcW w:w="1985" w:type="dxa"/>
            <w:tcBorders>
              <w:top w:val="single" w:sz="4" w:space="0" w:color="auto"/>
              <w:left w:val="single" w:sz="4" w:space="0" w:color="auto"/>
              <w:right w:val="single" w:sz="4" w:space="0" w:color="auto"/>
            </w:tcBorders>
            <w:vAlign w:val="center"/>
          </w:tcPr>
          <w:p>
            <w:pPr>
              <w:rPr>
                <w:szCs w:val="21"/>
              </w:rPr>
            </w:pPr>
            <w:r>
              <w:rPr>
                <w:szCs w:val="21"/>
              </w:rPr>
              <w:t>质量标准</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10</w:t>
            </w:r>
          </w:p>
        </w:tc>
        <w:tc>
          <w:tcPr>
            <w:tcW w:w="1985" w:type="dxa"/>
            <w:tcBorders>
              <w:top w:val="single" w:sz="4" w:space="0" w:color="auto"/>
              <w:left w:val="single" w:sz="4" w:space="0" w:color="auto"/>
              <w:right w:val="single" w:sz="4" w:space="0" w:color="auto"/>
            </w:tcBorders>
            <w:vAlign w:val="center"/>
          </w:tcPr>
          <w:p>
            <w:pPr>
              <w:rPr>
                <w:szCs w:val="21"/>
              </w:rPr>
            </w:pPr>
            <w:r>
              <w:rPr>
                <w:szCs w:val="21"/>
              </w:rPr>
              <w:t>预付款额度</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11</w:t>
            </w:r>
          </w:p>
        </w:tc>
        <w:tc>
          <w:tcPr>
            <w:tcW w:w="1985" w:type="dxa"/>
            <w:tcBorders>
              <w:top w:val="single" w:sz="4" w:space="0" w:color="auto"/>
              <w:left w:val="single" w:sz="4" w:space="0" w:color="auto"/>
              <w:right w:val="single" w:sz="4" w:space="0" w:color="auto"/>
            </w:tcBorders>
            <w:vAlign w:val="center"/>
          </w:tcPr>
          <w:p>
            <w:pPr>
              <w:rPr>
                <w:szCs w:val="21"/>
              </w:rPr>
            </w:pPr>
            <w:r>
              <w:rPr>
                <w:szCs w:val="21"/>
              </w:rPr>
              <w:t>预付款保函金额</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12</w:t>
            </w:r>
          </w:p>
        </w:tc>
        <w:tc>
          <w:tcPr>
            <w:tcW w:w="1985" w:type="dxa"/>
            <w:tcBorders>
              <w:top w:val="single" w:sz="4" w:space="0" w:color="auto"/>
              <w:left w:val="single" w:sz="4" w:space="0" w:color="auto"/>
              <w:right w:val="single" w:sz="4" w:space="0" w:color="auto"/>
            </w:tcBorders>
            <w:vAlign w:val="center"/>
          </w:tcPr>
          <w:p>
            <w:pPr>
              <w:rPr>
                <w:szCs w:val="21"/>
              </w:rPr>
            </w:pPr>
            <w:r>
              <w:rPr>
                <w:szCs w:val="21"/>
              </w:rPr>
              <w:t>质量保证金额度</w:t>
            </w:r>
          </w:p>
        </w:tc>
        <w:tc>
          <w:tcPr>
            <w:tcW w:w="2126" w:type="dxa"/>
            <w:tcBorders>
              <w:top w:val="single" w:sz="4" w:space="0" w:color="auto"/>
              <w:left w:val="single" w:sz="4" w:space="0" w:color="auto"/>
              <w:right w:val="single" w:sz="4" w:space="0" w:color="auto"/>
            </w:tcBorders>
            <w:tcMar>
              <w:left w:w="170" w:type="dxa"/>
            </w:tcMar>
            <w:vAlign w:val="center"/>
          </w:tcPr>
          <w:p>
            <w:pPr>
              <w:jc w:val="center"/>
            </w:pPr>
            <w:r>
              <w:rPr>
                <w:szCs w:val="21"/>
              </w:rPr>
              <w:t>专用条款</w:t>
            </w:r>
          </w:p>
        </w:tc>
        <w:tc>
          <w:tcPr>
            <w:tcW w:w="1984" w:type="dxa"/>
            <w:tcBorders>
              <w:top w:val="single" w:sz="4" w:space="0" w:color="auto"/>
              <w:left w:val="single" w:sz="4" w:space="0" w:color="auto"/>
              <w:right w:val="single" w:sz="4" w:space="0" w:color="auto"/>
            </w:tcBorders>
            <w:vAlign w:val="center"/>
          </w:tcPr>
          <w:p>
            <w:pPr>
              <w:jc w:val="center"/>
              <w:rPr>
                <w:szCs w:val="21"/>
              </w:rPr>
            </w:pPr>
            <w:r>
              <w:rPr>
                <w:szCs w:val="21"/>
              </w:rPr>
              <w:t>结算价的</w:t>
            </w:r>
            <w:r>
              <w:rPr>
                <w:szCs w:val="21"/>
                <w:u w:val="single"/>
              </w:rPr>
              <w:t xml:space="preserve">     </w:t>
            </w:r>
            <w:r>
              <w:rPr>
                <w:szCs w:val="21"/>
              </w:rPr>
              <w:t xml:space="preserve">% </w:t>
            </w:r>
            <w:r>
              <w:rPr>
                <w:szCs w:val="21"/>
                <w:u w:val="single"/>
              </w:rPr>
              <w:t xml:space="preserve"> </w:t>
            </w: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567"/>
        </w:trPr>
        <w:tc>
          <w:tcPr>
            <w:tcW w:w="992" w:type="dxa"/>
            <w:tcBorders>
              <w:top w:val="single" w:sz="4" w:space="0" w:color="auto"/>
              <w:left w:val="single" w:sz="4" w:space="0" w:color="auto"/>
              <w:right w:val="single" w:sz="4" w:space="0" w:color="auto"/>
            </w:tcBorders>
            <w:vAlign w:val="center"/>
          </w:tcPr>
          <w:p>
            <w:pPr>
              <w:jc w:val="center"/>
              <w:rPr>
                <w:szCs w:val="21"/>
              </w:rPr>
            </w:pPr>
            <w:r>
              <w:rPr>
                <w:szCs w:val="21"/>
              </w:rPr>
              <w:t>…</w:t>
            </w:r>
          </w:p>
        </w:tc>
        <w:tc>
          <w:tcPr>
            <w:tcW w:w="1985" w:type="dxa"/>
            <w:tcBorders>
              <w:top w:val="single" w:sz="4" w:space="0" w:color="auto"/>
              <w:left w:val="single" w:sz="4" w:space="0" w:color="auto"/>
              <w:right w:val="single" w:sz="4" w:space="0" w:color="auto"/>
            </w:tcBorders>
            <w:vAlign w:val="center"/>
          </w:tcPr>
          <w:p>
            <w:pPr>
              <w:jc w:val="center"/>
              <w:rPr>
                <w:szCs w:val="21"/>
              </w:rPr>
            </w:pPr>
            <w:r>
              <w:rPr>
                <w:szCs w:val="21"/>
              </w:rPr>
              <w:t>…</w:t>
            </w:r>
          </w:p>
        </w:tc>
        <w:tc>
          <w:tcPr>
            <w:tcW w:w="2126" w:type="dxa"/>
            <w:tcBorders>
              <w:top w:val="single" w:sz="4" w:space="0" w:color="auto"/>
              <w:left w:val="single" w:sz="4" w:space="0" w:color="auto"/>
              <w:right w:val="single" w:sz="4" w:space="0" w:color="auto"/>
            </w:tcBorders>
            <w:tcMar>
              <w:left w:w="170" w:type="dxa"/>
            </w:tcMar>
            <w:vAlign w:val="center"/>
          </w:tcPr>
          <w:p>
            <w:pPr>
              <w:jc w:val="center"/>
              <w:rPr>
                <w:szCs w:val="21"/>
              </w:rPr>
            </w:pPr>
          </w:p>
        </w:tc>
        <w:tc>
          <w:tcPr>
            <w:tcW w:w="1984" w:type="dxa"/>
            <w:tcBorders>
              <w:top w:val="single" w:sz="4" w:space="0" w:color="auto"/>
              <w:left w:val="single" w:sz="4" w:space="0" w:color="auto"/>
              <w:right w:val="single" w:sz="4" w:space="0" w:color="auto"/>
            </w:tcBorders>
            <w:vAlign w:val="center"/>
          </w:tcPr>
          <w:p>
            <w:pPr>
              <w:jc w:val="center"/>
              <w:rPr>
                <w:szCs w:val="21"/>
              </w:rPr>
            </w:pPr>
          </w:p>
        </w:tc>
        <w:tc>
          <w:tcPr>
            <w:tcW w:w="1843" w:type="dxa"/>
            <w:tcBorders>
              <w:top w:val="single" w:sz="4" w:space="0" w:color="auto"/>
              <w:left w:val="single" w:sz="4" w:space="0" w:color="auto"/>
              <w:right w:val="single" w:sz="4" w:space="0" w:color="auto"/>
            </w:tcBorders>
            <w:vAlign w:val="center"/>
          </w:tcPr>
          <w:p>
            <w:pPr>
              <w:jc w:val="center"/>
              <w:rPr>
                <w:szCs w:val="21"/>
              </w:rPr>
            </w:pPr>
          </w:p>
        </w:tc>
      </w:tr>
      <w:tr>
        <w:trPr>
          <w:trHeight w:val="926"/>
        </w:trPr>
        <w:tc>
          <w:tcPr>
            <w:tcW w:w="8930" w:type="dxa"/>
            <w:gridSpan w:val="5"/>
            <w:tcBorders>
              <w:top w:val="single" w:sz="4" w:space="0" w:color="auto"/>
              <w:left w:val="single" w:sz="4" w:space="0" w:color="auto"/>
              <w:right w:val="single" w:sz="4" w:space="0" w:color="auto"/>
            </w:tcBorders>
            <w:vAlign w:val="center"/>
          </w:tcPr>
          <w:p>
            <w:pPr>
              <w:spacing w:line="360" w:lineRule="auto"/>
              <w:rPr>
                <w:szCs w:val="21"/>
              </w:rPr>
            </w:pPr>
            <w:r>
              <w:rPr>
                <w:szCs w:val="21"/>
              </w:rPr>
              <w:t>备注：供应商在响应采购文件中规定的实质性要求和条件的基础上，可做出其他有利于采购单位的承诺。此类承诺可在本表中予以补充填写。</w:t>
            </w:r>
          </w:p>
        </w:tc>
      </w:tr>
    </w:tbl>
    <w:p>
      <w:pPr>
        <w:rPr>
          <w:spacing w:val="20"/>
          <w:szCs w:val="21"/>
          <w:u w:val="single"/>
        </w:rPr>
      </w:pPr>
    </w:p>
    <w:p>
      <w:pPr>
        <w:spacing w:line="360" w:lineRule="auto"/>
        <w:rPr>
          <w:spacing w:val="20"/>
          <w:szCs w:val="21"/>
        </w:rPr>
      </w:pPr>
    </w:p>
    <w:p>
      <w:pPr>
        <w:jc w:val="left"/>
        <w:rPr>
          <w:szCs w:val="21"/>
        </w:rPr>
      </w:pPr>
    </w:p>
    <w:p>
      <w:pPr>
        <w:spacing w:line="360" w:lineRule="auto"/>
        <w:rPr>
          <w:spacing w:val="20"/>
          <w:szCs w:val="21"/>
        </w:rPr>
      </w:pPr>
    </w:p>
    <w:p>
      <w:pPr>
        <w:spacing w:line="360" w:lineRule="auto"/>
        <w:rPr>
          <w:szCs w:val="21"/>
        </w:rPr>
      </w:pPr>
      <w:bookmarkStart w:id="151" w:name="_Hlk89191140"/>
      <w:r>
        <w:rPr>
          <w:szCs w:val="21"/>
        </w:rPr>
        <w:t>供应商名称（</w:t>
      </w:r>
      <w:r>
        <w:rPr>
          <w:rFonts w:hint="eastAsia"/>
          <w:szCs w:val="21"/>
        </w:rPr>
        <w:t>公章</w:t>
      </w:r>
      <w:r>
        <w:rPr>
          <w:szCs w:val="21"/>
        </w:rPr>
        <w:t>）</w:t>
      </w:r>
      <w:bookmarkEnd w:id="151"/>
      <w:r>
        <w:rPr>
          <w:szCs w:val="21"/>
        </w:rPr>
        <w:t>：</w:t>
      </w:r>
      <w:r>
        <w:rPr>
          <w:szCs w:val="21"/>
          <w:u w:val="single"/>
        </w:rPr>
        <w:t xml:space="preserve">                          </w:t>
      </w:r>
    </w:p>
    <w:p>
      <w:pPr>
        <w:spacing w:line="360" w:lineRule="auto"/>
        <w:rPr>
          <w:szCs w:val="21"/>
        </w:rPr>
      </w:pPr>
      <w:r>
        <w:rPr>
          <w:szCs w:val="21"/>
        </w:rPr>
        <w:t>日  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rPr>
          <w:b/>
          <w:szCs w:val="21"/>
        </w:rPr>
      </w:pPr>
      <w:r>
        <w:rPr>
          <w:szCs w:val="21"/>
        </w:rPr>
        <w:br w:type="page"/>
      </w:r>
      <w:r>
        <w:t>3．</w:t>
      </w:r>
      <w:r>
        <w:rPr>
          <w:rFonts w:hint="eastAsia"/>
        </w:rPr>
        <w:t>响应</w:t>
      </w:r>
      <w:r>
        <w:t>报价表格式：</w:t>
      </w:r>
    </w:p>
    <w:p>
      <w:pPr>
        <w:jc w:val="center"/>
        <w:rPr>
          <w:spacing w:val="20"/>
          <w:szCs w:val="21"/>
          <w:u w:val="single"/>
        </w:rPr>
      </w:pPr>
      <w:r>
        <w:rPr>
          <w:b/>
          <w:szCs w:val="21"/>
        </w:rPr>
        <w:t>磋商报价表</w:t>
      </w:r>
    </w:p>
    <w:p>
      <w:pPr>
        <w:rPr>
          <w:szCs w:val="21"/>
        </w:rPr>
      </w:pPr>
    </w:p>
    <w:p>
      <w:pPr>
        <w:ind w:leftChars="-85" w:left="-178" w:rightChars="-244" w:right="-512" w:firstLineChars="400" w:firstLine="840"/>
        <w:jc w:val="left"/>
      </w:pPr>
      <w:r>
        <w:t>工程名称：                                                  币种：人民币</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4"/>
        <w:gridCol w:w="3116"/>
        <w:gridCol w:w="1987"/>
        <w:gridCol w:w="1702"/>
      </w:tblGrid>
      <w:tr>
        <w:trPr>
          <w:trHeight w:val="534"/>
        </w:trPr>
        <w:tc>
          <w:tcPr>
            <w:tcW w:w="5100" w:type="dxa"/>
            <w:gridSpan w:val="2"/>
            <w:tcBorders>
              <w:left w:val="single" w:sz="4" w:space="0" w:color="auto"/>
              <w:right w:val="single" w:sz="4" w:space="0" w:color="auto"/>
            </w:tcBorders>
            <w:vAlign w:val="center"/>
          </w:tcPr>
          <w:p>
            <w:pPr>
              <w:widowControl/>
              <w:jc w:val="center"/>
            </w:pPr>
            <w:r>
              <w:rPr>
                <w:rFonts w:cs="宋体" w:hint="eastAsia"/>
              </w:rPr>
              <w:t>响应总价</w:t>
            </w:r>
          </w:p>
        </w:tc>
        <w:tc>
          <w:tcPr>
            <w:tcW w:w="1987" w:type="dxa"/>
            <w:tcBorders>
              <w:left w:val="single" w:sz="4" w:space="0" w:color="auto"/>
              <w:right w:val="single" w:sz="4" w:space="0" w:color="auto"/>
            </w:tcBorders>
            <w:vAlign w:val="center"/>
          </w:tcPr>
          <w:p>
            <w:pPr>
              <w:widowControl/>
              <w:jc w:val="right"/>
            </w:pPr>
            <w:r>
              <w:rPr>
                <w:rFonts w:cs="宋体" w:hint="eastAsia"/>
              </w:rPr>
              <w:t>万元</w:t>
            </w:r>
          </w:p>
        </w:tc>
        <w:tc>
          <w:tcPr>
            <w:tcW w:w="1702" w:type="dxa"/>
            <w:tcBorders>
              <w:left w:val="single" w:sz="4" w:space="0" w:color="auto"/>
              <w:right w:val="single" w:sz="4" w:space="0" w:color="auto"/>
            </w:tcBorders>
            <w:vAlign w:val="center"/>
          </w:tcPr>
          <w:p>
            <w:pPr>
              <w:widowControl/>
              <w:jc w:val="center"/>
            </w:pPr>
            <w:r>
              <w:rPr>
                <w:rFonts w:cs="宋体" w:hint="eastAsia"/>
              </w:rPr>
              <w:t>备注</w:t>
            </w:r>
          </w:p>
        </w:tc>
      </w:tr>
      <w:tr>
        <w:trPr>
          <w:trHeight w:val="544"/>
        </w:trPr>
        <w:tc>
          <w:tcPr>
            <w:tcW w:w="1984" w:type="dxa"/>
            <w:vMerge w:val="restart"/>
            <w:tcBorders>
              <w:top w:val="single" w:sz="4" w:space="0" w:color="auto"/>
              <w:left w:val="single" w:sz="4" w:space="0" w:color="auto"/>
              <w:right w:val="single" w:sz="4" w:space="0" w:color="auto"/>
            </w:tcBorders>
            <w:vAlign w:val="center"/>
          </w:tcPr>
          <w:p>
            <w:pPr>
              <w:jc w:val="center"/>
            </w:pPr>
            <w:r>
              <w:rPr>
                <w:rFonts w:cs="宋体" w:hint="eastAsia"/>
              </w:rPr>
              <w:t>其中</w:t>
            </w:r>
          </w:p>
        </w:tc>
        <w:tc>
          <w:tcPr>
            <w:tcW w:w="3116" w:type="dxa"/>
            <w:tcBorders>
              <w:top w:val="single" w:sz="4" w:space="0" w:color="auto"/>
              <w:left w:val="single" w:sz="4" w:space="0" w:color="auto"/>
              <w:right w:val="single" w:sz="4" w:space="0" w:color="auto"/>
            </w:tcBorders>
            <w:vAlign w:val="center"/>
          </w:tcPr>
          <w:p>
            <w:pPr>
              <w:jc w:val="center"/>
            </w:pPr>
            <w:r>
              <w:rPr>
                <w:rFonts w:cs="宋体" w:hint="eastAsia"/>
              </w:rPr>
              <w:t>安全文明施工费</w:t>
            </w:r>
          </w:p>
        </w:tc>
        <w:tc>
          <w:tcPr>
            <w:tcW w:w="1987" w:type="dxa"/>
            <w:tcBorders>
              <w:top w:val="single" w:sz="4" w:space="0" w:color="auto"/>
              <w:left w:val="single" w:sz="4" w:space="0" w:color="auto"/>
              <w:right w:val="single" w:sz="4" w:space="0" w:color="auto"/>
            </w:tcBorders>
            <w:vAlign w:val="center"/>
          </w:tcPr>
          <w:p>
            <w:pPr>
              <w:jc w:val="right"/>
            </w:pPr>
            <w:r>
              <w:rPr>
                <w:rFonts w:cs="宋体" w:hint="eastAsia"/>
              </w:rPr>
              <w:t>万元</w:t>
            </w:r>
          </w:p>
        </w:tc>
        <w:tc>
          <w:tcPr>
            <w:tcW w:w="1702" w:type="dxa"/>
            <w:tcBorders>
              <w:top w:val="single" w:sz="4" w:space="0" w:color="auto"/>
              <w:left w:val="single" w:sz="4" w:space="0" w:color="auto"/>
              <w:right w:val="single" w:sz="4" w:space="0" w:color="auto"/>
            </w:tcBorders>
            <w:vAlign w:val="center"/>
          </w:tcPr>
          <w:p>
            <w:pPr>
              <w:jc w:val="center"/>
            </w:pPr>
          </w:p>
        </w:tc>
      </w:tr>
      <w:tr>
        <w:trPr>
          <w:trHeight w:val="544"/>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jc w:val="center"/>
              <w:rPr>
                <w:rFonts w:cs="宋体"/>
              </w:rPr>
            </w:pPr>
            <w:r>
              <w:rPr>
                <w:rFonts w:cs="宋体" w:hint="eastAsia"/>
              </w:rPr>
              <w:t>安责险暂估价（如有）</w:t>
            </w:r>
          </w:p>
        </w:tc>
        <w:tc>
          <w:tcPr>
            <w:tcW w:w="1987" w:type="dxa"/>
            <w:tcBorders>
              <w:top w:val="single" w:sz="4" w:space="0" w:color="auto"/>
              <w:left w:val="single" w:sz="4" w:space="0" w:color="auto"/>
              <w:right w:val="single" w:sz="4" w:space="0" w:color="auto"/>
            </w:tcBorders>
            <w:vAlign w:val="center"/>
          </w:tcPr>
          <w:p>
            <w:pPr>
              <w:jc w:val="right"/>
              <w:rPr>
                <w:rFonts w:cs="宋体"/>
              </w:rPr>
            </w:pPr>
            <w:r>
              <w:rPr>
                <w:rFonts w:cs="宋体" w:hint="eastAsia"/>
              </w:rPr>
              <w:t>万元</w:t>
            </w:r>
          </w:p>
        </w:tc>
        <w:tc>
          <w:tcPr>
            <w:tcW w:w="1702" w:type="dxa"/>
            <w:tcBorders>
              <w:top w:val="single" w:sz="4" w:space="0" w:color="auto"/>
              <w:left w:val="single" w:sz="4" w:space="0" w:color="auto"/>
              <w:right w:val="single" w:sz="4" w:space="0" w:color="auto"/>
            </w:tcBorders>
            <w:vAlign w:val="center"/>
          </w:tcPr>
          <w:p>
            <w:pPr>
              <w:jc w:val="center"/>
            </w:pPr>
          </w:p>
        </w:tc>
      </w:tr>
      <w:tr>
        <w:trPr>
          <w:trHeight w:val="552"/>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jc w:val="center"/>
            </w:pPr>
            <w:r>
              <w:rPr>
                <w:rFonts w:cs="宋体" w:hint="eastAsia"/>
              </w:rPr>
              <w:t>发包人提供材料（设备）暂估价（如有）</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万元</w:t>
            </w:r>
          </w:p>
        </w:tc>
        <w:tc>
          <w:tcPr>
            <w:tcW w:w="1702" w:type="dxa"/>
            <w:tcBorders>
              <w:top w:val="single" w:sz="4" w:space="0" w:color="auto"/>
              <w:left w:val="single" w:sz="4" w:space="0" w:color="auto"/>
              <w:right w:val="single" w:sz="4" w:space="0" w:color="auto"/>
            </w:tcBorders>
          </w:tcPr>
          <w:p>
            <w:pPr>
              <w:widowControl/>
              <w:ind w:right="480"/>
            </w:pPr>
          </w:p>
        </w:tc>
      </w:tr>
      <w:tr>
        <w:trPr>
          <w:trHeight w:val="552"/>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pPr>
            <w:r>
              <w:rPr>
                <w:rFonts w:cs="宋体" w:hint="eastAsia"/>
              </w:rPr>
              <w:t>专业工程暂估价（如有）</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万元</w:t>
            </w:r>
          </w:p>
        </w:tc>
        <w:tc>
          <w:tcPr>
            <w:tcW w:w="1702" w:type="dxa"/>
            <w:tcBorders>
              <w:top w:val="single" w:sz="4" w:space="0" w:color="auto"/>
              <w:left w:val="single" w:sz="4" w:space="0" w:color="auto"/>
              <w:right w:val="single" w:sz="4" w:space="0" w:color="auto"/>
            </w:tcBorders>
          </w:tcPr>
          <w:p>
            <w:pPr>
              <w:widowControl/>
              <w:ind w:right="480"/>
            </w:pPr>
          </w:p>
        </w:tc>
      </w:tr>
      <w:tr>
        <w:trPr>
          <w:trHeight w:val="552"/>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ind w:firstLineChars="450" w:firstLine="945"/>
            </w:pPr>
            <w:r>
              <w:rPr>
                <w:rFonts w:cs="宋体" w:hint="eastAsia"/>
              </w:rPr>
              <w:t>暂列金额（如有）</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万元</w:t>
            </w:r>
          </w:p>
        </w:tc>
        <w:tc>
          <w:tcPr>
            <w:tcW w:w="1702" w:type="dxa"/>
            <w:tcBorders>
              <w:top w:val="single" w:sz="4" w:space="0" w:color="auto"/>
              <w:left w:val="single" w:sz="4" w:space="0" w:color="auto"/>
              <w:right w:val="single" w:sz="4" w:space="0" w:color="auto"/>
            </w:tcBorders>
          </w:tcPr>
          <w:p>
            <w:pPr>
              <w:widowControl/>
              <w:ind w:right="480"/>
            </w:pPr>
          </w:p>
        </w:tc>
      </w:tr>
      <w:tr>
        <w:trPr>
          <w:trHeight w:val="536"/>
        </w:trPr>
        <w:tc>
          <w:tcPr>
            <w:tcW w:w="1984" w:type="dxa"/>
            <w:vMerge w:val="restart"/>
            <w:tcBorders>
              <w:top w:val="single" w:sz="4" w:space="0" w:color="auto"/>
              <w:left w:val="single" w:sz="4" w:space="0" w:color="auto"/>
              <w:right w:val="single" w:sz="4" w:space="0" w:color="auto"/>
            </w:tcBorders>
            <w:vAlign w:val="center"/>
          </w:tcPr>
          <w:p>
            <w:pPr>
              <w:widowControl/>
              <w:jc w:val="center"/>
            </w:pPr>
            <w:r>
              <w:rPr>
                <w:rFonts w:cs="宋体" w:hint="eastAsia"/>
              </w:rPr>
              <w:t>主要材料</w:t>
            </w:r>
          </w:p>
        </w:tc>
        <w:tc>
          <w:tcPr>
            <w:tcW w:w="3116" w:type="dxa"/>
            <w:tcBorders>
              <w:top w:val="single" w:sz="4" w:space="0" w:color="auto"/>
              <w:left w:val="single" w:sz="4" w:space="0" w:color="auto"/>
              <w:right w:val="single" w:sz="4" w:space="0" w:color="auto"/>
            </w:tcBorders>
            <w:vAlign w:val="center"/>
          </w:tcPr>
          <w:p>
            <w:pPr>
              <w:widowControl/>
              <w:jc w:val="center"/>
            </w:pPr>
            <w:r>
              <w:rPr>
                <w:rFonts w:cs="宋体" w:hint="eastAsia"/>
              </w:rPr>
              <w:t>钢筋</w:t>
            </w:r>
          </w:p>
        </w:tc>
        <w:tc>
          <w:tcPr>
            <w:tcW w:w="1987" w:type="dxa"/>
            <w:tcBorders>
              <w:top w:val="single" w:sz="4" w:space="0" w:color="auto"/>
              <w:left w:val="single" w:sz="4" w:space="0" w:color="auto"/>
              <w:right w:val="single" w:sz="4" w:space="0" w:color="auto"/>
            </w:tcBorders>
            <w:vAlign w:val="center"/>
          </w:tcPr>
          <w:p>
            <w:pPr>
              <w:widowControl/>
              <w:jc w:val="right"/>
            </w:pPr>
            <w:r>
              <w:rPr>
                <w:rFonts w:cs="宋体" w:hint="eastAsia"/>
              </w:rPr>
              <w:t>吨</w:t>
            </w:r>
          </w:p>
        </w:tc>
        <w:tc>
          <w:tcPr>
            <w:tcW w:w="1702" w:type="dxa"/>
            <w:tcBorders>
              <w:top w:val="single" w:sz="4" w:space="0" w:color="auto"/>
              <w:left w:val="single" w:sz="4" w:space="0" w:color="auto"/>
              <w:right w:val="single" w:sz="4" w:space="0" w:color="auto"/>
            </w:tcBorders>
          </w:tcPr>
          <w:p>
            <w:pPr>
              <w:widowControl/>
              <w:jc w:val="right"/>
            </w:pPr>
          </w:p>
        </w:tc>
      </w:tr>
      <w:tr>
        <w:trPr>
          <w:trHeight w:val="558"/>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jc w:val="center"/>
            </w:pPr>
            <w:r>
              <w:rPr>
                <w:rFonts w:cs="宋体" w:hint="eastAsia"/>
              </w:rPr>
              <w:t>水泥（不含商品混凝土用量）</w:t>
            </w:r>
          </w:p>
        </w:tc>
        <w:tc>
          <w:tcPr>
            <w:tcW w:w="1987" w:type="dxa"/>
            <w:tcBorders>
              <w:top w:val="single" w:sz="4" w:space="0" w:color="auto"/>
              <w:left w:val="single" w:sz="4" w:space="0" w:color="auto"/>
              <w:right w:val="single" w:sz="4" w:space="0" w:color="auto"/>
            </w:tcBorders>
            <w:vAlign w:val="center"/>
          </w:tcPr>
          <w:p>
            <w:pPr>
              <w:widowControl/>
              <w:tabs>
                <w:tab w:val="left" w:pos="2398"/>
              </w:tabs>
              <w:ind w:right="18"/>
              <w:jc w:val="right"/>
            </w:pPr>
            <w:r>
              <w:rPr>
                <w:rFonts w:cs="宋体" w:hint="eastAsia"/>
              </w:rPr>
              <w:t>吨</w:t>
            </w:r>
          </w:p>
        </w:tc>
        <w:tc>
          <w:tcPr>
            <w:tcW w:w="1702" w:type="dxa"/>
            <w:tcBorders>
              <w:top w:val="single" w:sz="4" w:space="0" w:color="auto"/>
              <w:left w:val="single" w:sz="4" w:space="0" w:color="auto"/>
              <w:right w:val="single" w:sz="4" w:space="0" w:color="auto"/>
            </w:tcBorders>
          </w:tcPr>
          <w:p>
            <w:pPr>
              <w:widowControl/>
              <w:jc w:val="right"/>
            </w:pPr>
          </w:p>
        </w:tc>
      </w:tr>
      <w:tr>
        <w:trPr>
          <w:trHeight w:val="541"/>
        </w:trPr>
        <w:tc>
          <w:tcPr>
            <w:tcW w:w="1984" w:type="dxa"/>
            <w:vMerge/>
            <w:tcBorders>
              <w:top w:val="single" w:sz="4" w:space="0" w:color="auto"/>
              <w:left w:val="single" w:sz="4" w:space="0" w:color="auto"/>
              <w:right w:val="single" w:sz="4" w:space="0" w:color="auto"/>
            </w:tcBorders>
            <w:vAlign w:val="center"/>
          </w:tcPr>
          <w:p/>
        </w:tc>
        <w:tc>
          <w:tcPr>
            <w:tcW w:w="3116" w:type="dxa"/>
            <w:tcBorders>
              <w:top w:val="single" w:sz="4" w:space="0" w:color="auto"/>
              <w:left w:val="single" w:sz="4" w:space="0" w:color="auto"/>
              <w:right w:val="single" w:sz="4" w:space="0" w:color="auto"/>
            </w:tcBorders>
            <w:vAlign w:val="center"/>
          </w:tcPr>
          <w:p>
            <w:pPr>
              <w:widowControl/>
              <w:jc w:val="center"/>
            </w:pPr>
            <w:r>
              <w:rPr>
                <w:rFonts w:cs="宋体" w:hint="eastAsia"/>
              </w:rPr>
              <w:t>商品混凝土</w:t>
            </w:r>
          </w:p>
        </w:tc>
        <w:tc>
          <w:tcPr>
            <w:tcW w:w="1987" w:type="dxa"/>
            <w:tcBorders>
              <w:top w:val="single" w:sz="4" w:space="0" w:color="auto"/>
              <w:left w:val="single" w:sz="4" w:space="0" w:color="auto"/>
              <w:right w:val="single" w:sz="4" w:space="0" w:color="auto"/>
            </w:tcBorders>
            <w:vAlign w:val="center"/>
          </w:tcPr>
          <w:p>
            <w:pPr>
              <w:widowControl/>
              <w:jc w:val="right"/>
            </w:pPr>
            <w:r>
              <w:t>m</w:t>
            </w:r>
            <w:r>
              <w:rPr>
                <w:vertAlign w:val="superscript"/>
              </w:rPr>
              <w:t>3</w:t>
            </w:r>
          </w:p>
        </w:tc>
        <w:tc>
          <w:tcPr>
            <w:tcW w:w="1702" w:type="dxa"/>
            <w:tcBorders>
              <w:top w:val="single" w:sz="4" w:space="0" w:color="auto"/>
              <w:left w:val="single" w:sz="4" w:space="0" w:color="auto"/>
              <w:right w:val="single" w:sz="4" w:space="0" w:color="auto"/>
            </w:tcBorders>
          </w:tcPr>
          <w:p>
            <w:pPr>
              <w:widowControl/>
              <w:jc w:val="right"/>
            </w:pPr>
          </w:p>
        </w:tc>
      </w:tr>
    </w:tbl>
    <w:p>
      <w:pPr>
        <w:ind w:leftChars="-85" w:left="-178" w:firstLineChars="74" w:firstLine="178"/>
        <w:rPr>
          <w:sz w:val="24"/>
        </w:rPr>
      </w:pPr>
    </w:p>
    <w:p>
      <w:pPr>
        <w:pStyle w:val="21"/>
      </w:pPr>
      <w:bookmarkStart w:id="152" w:name="_Hlk89191148"/>
    </w:p>
    <w:p>
      <w:pPr>
        <w:jc w:val="left"/>
        <w:rPr>
          <w:szCs w:val="21"/>
        </w:rPr>
      </w:pPr>
      <w:bookmarkEnd w:id="152"/>
    </w:p>
    <w:p>
      <w:pPr>
        <w:jc w:val="left"/>
        <w:rPr>
          <w:szCs w:val="21"/>
        </w:rPr>
      </w:pPr>
    </w:p>
    <w:p>
      <w:pPr>
        <w:spacing w:line="360" w:lineRule="auto"/>
        <w:rPr>
          <w:szCs w:val="21"/>
        </w:rPr>
      </w:pPr>
      <w:bookmarkStart w:id="153" w:name="_Hlk89191156"/>
      <w:r>
        <w:rPr>
          <w:szCs w:val="21"/>
        </w:rPr>
        <w:t>供应商名称（</w:t>
      </w:r>
      <w:r>
        <w:rPr>
          <w:rFonts w:hint="eastAsia"/>
          <w:szCs w:val="21"/>
        </w:rPr>
        <w:t>公章</w:t>
      </w:r>
      <w:r>
        <w:rPr>
          <w:szCs w:val="21"/>
        </w:rPr>
        <w:t>）</w:t>
      </w:r>
      <w:bookmarkEnd w:id="153"/>
      <w:r>
        <w:rPr>
          <w:szCs w:val="21"/>
        </w:rPr>
        <w:t>：</w:t>
      </w:r>
      <w:r>
        <w:rPr>
          <w:szCs w:val="21"/>
          <w:u w:val="single"/>
        </w:rPr>
        <w:t xml:space="preserve">                          </w:t>
      </w:r>
    </w:p>
    <w:p>
      <w:pPr>
        <w:spacing w:line="360" w:lineRule="auto"/>
        <w:rPr>
          <w:szCs w:val="21"/>
        </w:rPr>
      </w:pPr>
      <w:r>
        <w:rPr>
          <w:szCs w:val="21"/>
        </w:rPr>
        <w:t>日  期：：</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jc w:val="left"/>
        <w:rPr>
          <w:szCs w:val="21"/>
        </w:rPr>
      </w:pPr>
      <w:r>
        <w:rPr>
          <w:szCs w:val="21"/>
        </w:rPr>
        <w:br w:type="page"/>
        <w:t>4．已标价工程量清单</w:t>
      </w:r>
      <w:r>
        <w:rPr>
          <w:rFonts w:hint="eastAsia"/>
          <w:szCs w:val="21"/>
        </w:rPr>
        <w:t>：</w:t>
      </w:r>
    </w:p>
    <w:p>
      <w:pPr>
        <w:spacing w:line="360" w:lineRule="exact"/>
        <w:ind w:firstLineChars="200" w:firstLine="420"/>
        <w:rPr>
          <w:szCs w:val="21"/>
        </w:rPr>
      </w:pPr>
      <w:r>
        <w:rPr>
          <w:rFonts w:hint="eastAsia"/>
          <w:szCs w:val="21"/>
        </w:rPr>
        <w:t>（</w:t>
      </w:r>
      <w:r>
        <w:rPr>
          <w:szCs w:val="21"/>
        </w:rPr>
        <w:t>1</w:t>
      </w:r>
      <w:r>
        <w:rPr>
          <w:rFonts w:hint="eastAsia"/>
          <w:szCs w:val="21"/>
        </w:rPr>
        <w:t>）</w:t>
      </w:r>
      <w:r>
        <w:rPr>
          <w:szCs w:val="21"/>
        </w:rPr>
        <w:t>已标价工程量清单应按</w:t>
      </w:r>
      <w:bookmarkStart w:id="154" w:name="_Hlk89191177"/>
      <w:r>
        <w:rPr>
          <w:szCs w:val="21"/>
        </w:rPr>
        <w:t>第</w:t>
      </w:r>
      <w:r>
        <w:rPr>
          <w:rFonts w:hint="eastAsia"/>
          <w:szCs w:val="21"/>
        </w:rPr>
        <w:t>二</w:t>
      </w:r>
      <w:r>
        <w:rPr>
          <w:szCs w:val="21"/>
        </w:rPr>
        <w:t>章</w:t>
      </w:r>
      <w:bookmarkEnd w:id="154"/>
      <w:r>
        <w:rPr>
          <w:szCs w:val="21"/>
        </w:rPr>
        <w:t>“工程量清单”中的相关表格及报价说明填写。构成合同文件的已标价工程量清单包括第</w:t>
      </w:r>
      <w:r>
        <w:rPr>
          <w:rFonts w:hint="eastAsia"/>
          <w:szCs w:val="21"/>
        </w:rPr>
        <w:t>二</w:t>
      </w:r>
      <w:r>
        <w:rPr>
          <w:szCs w:val="21"/>
        </w:rPr>
        <w:t>章“工程量清单”有关工程量清单、报价以及其他说明的内容。</w:t>
      </w:r>
    </w:p>
    <w:p>
      <w:pPr>
        <w:spacing w:line="360" w:lineRule="exact"/>
        <w:ind w:firstLineChars="200" w:firstLine="420"/>
        <w:rPr>
          <w:szCs w:val="21"/>
        </w:rPr>
      </w:pPr>
      <w:r>
        <w:rPr>
          <w:rFonts w:hint="eastAsia"/>
          <w:szCs w:val="21"/>
        </w:rPr>
        <w:t>（</w:t>
      </w:r>
      <w:r>
        <w:rPr>
          <w:szCs w:val="21"/>
        </w:rPr>
        <w:t>2</w:t>
      </w:r>
      <w:r>
        <w:rPr>
          <w:rFonts w:hint="eastAsia"/>
          <w:szCs w:val="21"/>
        </w:rPr>
        <w:t>）</w:t>
      </w:r>
      <w:r>
        <w:rPr>
          <w:rFonts w:cs="宋体" w:hint="eastAsia"/>
        </w:rPr>
        <w:t>一般计税法建设工程已标价工程量清单表格按</w:t>
      </w:r>
      <w:r>
        <w:rPr>
          <w:rFonts w:cs="宋体" w:hint="eastAsia"/>
          <w:kern w:val="0"/>
        </w:rPr>
        <w:t>《关于建筑业实施营业税改征增值税后广西壮族自治区建设工程计价依据调整的通知》（桂建标〔</w:t>
      </w:r>
      <w:r>
        <w:rPr>
          <w:kern w:val="0"/>
        </w:rPr>
        <w:t>2016</w:t>
      </w:r>
      <w:r>
        <w:rPr>
          <w:rFonts w:cs="宋体" w:hint="eastAsia"/>
          <w:kern w:val="0"/>
        </w:rPr>
        <w:t>〕</w:t>
      </w:r>
      <w:r>
        <w:rPr>
          <w:kern w:val="0"/>
        </w:rPr>
        <w:t>17</w:t>
      </w:r>
      <w:r>
        <w:rPr>
          <w:rFonts w:cs="宋体" w:hint="eastAsia"/>
          <w:kern w:val="0"/>
        </w:rPr>
        <w:t>号）</w:t>
      </w:r>
      <w:r>
        <w:rPr>
          <w:rFonts w:ascii="宋体" w:cs="宋体" w:hint="eastAsia"/>
        </w:rPr>
        <w:t>附件“增值税一般计税方法工程计价表”</w:t>
      </w:r>
      <w:r>
        <w:rPr>
          <w:rFonts w:cs="宋体" w:hint="eastAsia"/>
        </w:rPr>
        <w:t>要求提供，简易计税法表格按《</w:t>
      </w:r>
      <w:r>
        <w:t>&lt;</w:t>
      </w:r>
      <w:r>
        <w:rPr>
          <w:rFonts w:cs="宋体" w:hint="eastAsia"/>
        </w:rPr>
        <w:t>建设工程工程量清单计价规范</w:t>
      </w:r>
      <w:r>
        <w:t>&gt;</w:t>
      </w:r>
      <w:r>
        <w:rPr>
          <w:rFonts w:cs="宋体" w:hint="eastAsia"/>
        </w:rPr>
        <w:t>（</w:t>
      </w:r>
      <w:r>
        <w:t>GB5050-2013</w:t>
      </w:r>
      <w:r>
        <w:rPr>
          <w:rFonts w:cs="宋体" w:hint="eastAsia"/>
        </w:rPr>
        <w:t>）广西壮族自治区实施细则》要求的表格提供，但规费和税费按照</w:t>
      </w:r>
      <w:r>
        <w:rPr>
          <w:rFonts w:cs="宋体" w:hint="eastAsia"/>
          <w:kern w:val="0"/>
        </w:rPr>
        <w:t>《关于建筑业实施营业税改征增值税后广西壮族自治区建设工程计价依据调整的通知》（桂建标〔</w:t>
      </w:r>
      <w:r>
        <w:rPr>
          <w:kern w:val="0"/>
        </w:rPr>
        <w:t>2016</w:t>
      </w:r>
      <w:r>
        <w:rPr>
          <w:rFonts w:cs="宋体" w:hint="eastAsia"/>
          <w:kern w:val="0"/>
        </w:rPr>
        <w:t>〕</w:t>
      </w:r>
      <w:r>
        <w:rPr>
          <w:kern w:val="0"/>
        </w:rPr>
        <w:t>17</w:t>
      </w:r>
      <w:r>
        <w:rPr>
          <w:rFonts w:cs="宋体" w:hint="eastAsia"/>
          <w:kern w:val="0"/>
        </w:rPr>
        <w:t>号）、《自治区住房城乡建设厅关于调整建设工程计价增值税税率的通知》（桂建标〔2018〕14号）、《自治区住房城乡建设厅关于调整建设工程计价增值税税率的通知》（桂建标〔2019〕12号）</w:t>
      </w:r>
      <w:r>
        <w:rPr>
          <w:rFonts w:ascii="宋体" w:cs="宋体" w:hint="eastAsia"/>
        </w:rPr>
        <w:t>调整</w:t>
      </w:r>
      <w:r>
        <w:rPr>
          <w:szCs w:val="21"/>
        </w:rPr>
        <w:t>。</w:t>
      </w:r>
    </w:p>
    <w:p>
      <w:pPr>
        <w:spacing w:line="360" w:lineRule="exact"/>
        <w:ind w:firstLineChars="200" w:firstLine="420"/>
        <w:rPr>
          <w:szCs w:val="21"/>
        </w:rPr>
      </w:pPr>
    </w:p>
    <w:p>
      <w:pPr>
        <w:snapToGrid w:val="0"/>
        <w:spacing w:before="50" w:afterLines="50" w:after="120"/>
        <w:jc w:val="left"/>
        <w:rPr>
          <w:szCs w:val="21"/>
        </w:rPr>
      </w:pPr>
      <w:bookmarkStart w:id="155" w:name="_Hlk60822154"/>
    </w:p>
    <w:p>
      <w:pPr>
        <w:snapToGrid w:val="0"/>
        <w:spacing w:before="50" w:afterLines="50" w:after="120"/>
        <w:jc w:val="left"/>
        <w:rPr>
          <w:b/>
          <w:szCs w:val="21"/>
        </w:rPr>
      </w:pPr>
      <w:bookmarkStart w:id="156" w:name="_Hlk89191232"/>
      <w:bookmarkEnd w:id="155"/>
    </w:p>
    <w:p>
      <w:pPr>
        <w:rPr>
          <w:szCs w:val="21"/>
        </w:rPr>
      </w:pPr>
      <w:bookmarkEnd w:id="156"/>
    </w:p>
    <w:sectPr>
      <w:headerReference w:type="default" r:id="rId15"/>
      <w:pgSz w:w="11906" w:h="16838"/>
      <w:pgMar w:top="1418" w:right="1274" w:bottom="1418" w:left="1418"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Times New Roman">
    <w:panose1 w:val="02020603050405020304"/>
    <w:charset w:val="A1"/>
    <w:family w:val="auto"/>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Arial">
    <w:panose1 w:val="020B0604020202020204"/>
    <w:charset w:val="01"/>
    <w:family w:val="swiss"/>
    <w:pitch w:val="variable"/>
    <w:sig w:usb0="E0002EFF" w:usb1="C000785B" w:usb2="00000009" w:usb3="00000000" w:csb0="400001FF" w:csb1="FFFF0000"/>
  </w:font>
  <w:font w:name="Wingdings 2">
    <w:panose1 w:val="05020102010507070707"/>
    <w:charset w:val="02"/>
    <w:family w:val="roman"/>
    <w:pitch w:val="variable"/>
    <w:sig w:usb0="00000000" w:usb1="00000000" w:usb2="00000000" w:usb3="00000000" w:csb0="80000000" w:csb1="00000000"/>
  </w:font>
  <w:font w:name="楷体_GB2312">
    <w:altName w:val="楷体"/>
    <w:panose1 w:val="02010609030101010101"/>
    <w:charset w:val="86"/>
    <w:family w:val="modern"/>
    <w:pitch w:val="variable"/>
    <w:sig w:usb0="00000001" w:usb1="080E0000" w:usb2="00000000" w:usb3="00000000" w:csb0="00040000" w:csb1="00000000"/>
  </w:font>
  <w:font w:name="Courier New">
    <w:panose1 w:val="02070309020205020404"/>
    <w:charset w:val="01"/>
    <w:family w:val="modern"/>
    <w:pitch w:val="variable"/>
    <w:sig w:usb0="E0002E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variable"/>
    <w:sig w:usb0="00000001" w:usb1="080E0000" w:usb2="00000000" w:usb3="00000000" w:csb0="00040000" w:csb1="00000000"/>
  </w:font>
  <w:font w:name="方正仿宋_GBK">
    <w:altName w:val="微软雅黑"/>
    <w:panose1 w:val="00000000000000000000"/>
    <w:charset w:val="86"/>
    <w:family w:val="script"/>
    <w:pitch w:val="variable"/>
    <w:sig w:usb0="00000000" w:usb1="00000000" w:usb2="00000010" w:usb3="00000000" w:csb0="00040000" w:csb1="00000000"/>
  </w:font>
  <w:font w:name="Helvetica">
    <w:altName w:val="Arial"/>
    <w:panose1 w:val="020B0604020202020204"/>
    <w:charset w:val="00"/>
    <w:family w:val="swiss"/>
    <w:pitch w:val="variable"/>
    <w:sig w:usb0="00000000" w:usb1="00000000" w:usb2="00000000" w:usb3="00000000" w:csb0="2000019F" w:csb1="4F010000"/>
  </w:font>
  <w:font w:name="Cambria">
    <w:panose1 w:val="02040503050406030204"/>
    <w:charset w:val="00"/>
    <w:family w:val="roman"/>
    <w:pitch w:val="variable"/>
    <w:sig w:usb0="E00006FF" w:usb1="420024FF" w:usb2="02000000" w:usb3="00000000" w:csb0="2000019F" w:csb1="00000000"/>
  </w:font>
  <w:font w:name="Verdana">
    <w:panose1 w:val="020B0604030504040204"/>
    <w:charset w:val="00"/>
    <w:family w:val="swiss"/>
    <w:pitch w:val="variable"/>
    <w:sig w:usb0="A00006FF" w:usb1="4000205B" w:usb2="00000010" w:usb3="00000000" w:csb0="2000019F" w:csb1="00000000"/>
  </w:font>
  <w:font w:name="Calibri">
    <w:panose1 w:val="020F0502020204030204"/>
    <w:charset w:val="00"/>
    <w:family w:val="swiss"/>
    <w:pitch w:val="variable"/>
    <w:sig w:usb0="E4002EFF" w:usb1="C200247B" w:usb2="00000009" w:usb3="00000000" w:csb0="200001FF" w:csb1="00000000"/>
  </w:font>
  <w:font w:name="Tahoma">
    <w:panose1 w:val="020B0604030504040204"/>
    <w:charset w:val="00"/>
    <w:family w:val="swiss"/>
    <w:pitch w:val="variable"/>
    <w:sig w:usb0="E1002EFF" w:usb1="C000605B" w:usb2="00000029" w:usb3="00000000" w:csb0="200101FF" w:csb1="20280000"/>
  </w:font>
  <w:font w:name="等线">
    <w:altName w:val="阿里巴巴普惠体 R"/>
    <w:panose1 w:val="02010600030101010101"/>
    <w:charset w:val="86"/>
    <w:family w:val="auto"/>
    <w:pitch w:val="variable"/>
    <w:sig w:usb0="A00002BF" w:usb1="38CF7CFA" w:usb2="00000016" w:usb3="00000000" w:csb0="0004000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6"/>
      <w:framePr w:w="0" w:hRule="auto" w:wrap="around" w:vAnchor="text" w:hAnchor="margin" w:xAlign="center" w:y="1" w:anchorLock="0"/>
      <w:tabs>
        <w:tab w:val="center" w:pos="4153"/>
        <w:tab w:val="right" w:pos="8306"/>
      </w:tabs>
      <w:rPr>
        <w:rStyle w:val="59"/>
      </w:rPr>
    </w:pPr>
    <w:r>
      <w:rPr>
        <w:rStyle w:val="59"/>
      </w:rPr>
      <w:fldChar w:fldCharType="begin"/>
    </w:r>
    <w:r>
      <w:rPr>
        <w:rStyle w:val="59"/>
      </w:rPr>
      <w:instrText xml:space="preserve">PAGE  </w:instrText>
    </w:r>
    <w:r>
      <w:fldChar w:fldCharType="separate"/>
    </w:r>
    <w:r>
      <w:rPr>
        <w:rStyle w:val="59"/>
      </w:rPr>
      <w:t>5</w:t>
    </w:r>
    <w:r>
      <w:fldChar w:fldCharType="end"/>
    </w:r>
  </w:p>
  <w:p>
    <w:pPr>
      <w:pStyle w:val="36"/>
      <w:tabs>
        <w:tab w:val="center" w:pos="4153"/>
        <w:tab w:val="right" w:pos="8306"/>
      </w:tabs>
      <w:jc w:val="right"/>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6"/>
      <w:framePr w:w="0" w:hRule="auto" w:wrap="around" w:vAnchor="text" w:hAnchor="margin" w:xAlign="center" w:y="1" w:anchorLock="0"/>
      <w:tabs>
        <w:tab w:val="center" w:pos="4153"/>
        <w:tab w:val="right" w:pos="8306"/>
      </w:tabs>
      <w:rPr>
        <w:rStyle w:val="59"/>
      </w:rPr>
    </w:pPr>
    <w:r>
      <w:rPr>
        <w:rStyle w:val="59"/>
      </w:rPr>
      <w:fldChar w:fldCharType="begin"/>
    </w:r>
    <w:r>
      <w:rPr>
        <w:rStyle w:val="59"/>
      </w:rPr>
      <w:instrText xml:space="preserve">PAGE  </w:instrText>
    </w:r>
    <w:r>
      <w:fldChar w:fldCharType="separate"/>
    </w:r>
    <w:r>
      <w:t xml:space="preserve"> </w:t>
    </w:r>
    <w:r>
      <w:fldChar w:fldCharType="end"/>
    </w:r>
  </w:p>
  <w:p>
    <w:pPr>
      <w:pStyle w:val="36"/>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6"/>
      <w:tabs>
        <w:tab w:val="center" w:pos="4153"/>
        <w:tab w:val="right" w:pos="8306"/>
      </w:tabs>
      <w:ind w:right="360"/>
      <w:jc w:val="both"/>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6"/>
      <w:tabs>
        <w:tab w:val="center" w:pos="4153"/>
        <w:tab w:val="right" w:pos="8306"/>
      </w:tabs>
      <w:jc w:val="center"/>
    </w:pPr>
    <w:r>
      <w:fldChar w:fldCharType="begin"/>
    </w:r>
    <w:r>
      <w:instrText>PAGE   \* MERGEFORMAT</w:instrText>
    </w:r>
    <w:r>
      <w:fldChar w:fldCharType="separate"/>
    </w:r>
    <w:r>
      <w:rPr>
        <w:lang w:val="zh-CN"/>
      </w:rPr>
      <w:t>4</w:t>
    </w:r>
    <w:r>
      <w:fldChar w:fldCharType="end"/>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p>
    <w:pPr>
      <w:pStyle w:val="37"/>
      <w:pBdr>
        <w:bottom w:val="none" w:sz="0" w:space="0" w:color="auto"/>
      </w:pBdr>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pBdr>
        <w:bottom w:val="single" w:sz="6" w:space="0" w:color="auto"/>
      </w:pBdr>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left"/>
    </w:pPr>
    <w:r>
      <w:rPr>
        <w:rFonts w:hint="eastAsia"/>
        <w:lang w:eastAsia="zh-CN"/>
      </w:rPr>
      <w:t>广西桂工建设管理咨询有限公司</w:t>
    </w:r>
    <w:r>
      <w:rPr>
        <w:rFonts w:hint="eastAsia"/>
      </w:rPr>
      <w:t xml:space="preserve">磋商文件                                                    </w:t>
    </w:r>
  </w:p>
  <w:p>
    <w:pPr>
      <w:pStyle w:val="37"/>
      <w:pBdr>
        <w:bottom w:val="none" w:sz="0" w:space="0" w:color="auto"/>
      </w:pBdr>
      <w:tabs>
        <w:tab w:val="center" w:pos="4153"/>
        <w:tab w:val="right" w:pos="8306"/>
      </w:tabs>
      <w:jc w:val="left"/>
    </w:pPr>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7.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p>
    <w:pPr>
      <w:pStyle w:val="37"/>
      <w:pBdr>
        <w:bottom w:val="none" w:sz="0" w:space="0" w:color="auto"/>
      </w:pBdr>
      <w:tabs>
        <w:tab w:val="center" w:pos="4153"/>
        <w:tab w:val="right" w:pos="8306"/>
      </w:tabs>
      <w:jc w:val="left"/>
    </w:pPr>
  </w:p>
</w:hdr>
</file>

<file path=word/header8.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left"/>
    </w:pPr>
    <w:r>
      <w:rPr>
        <w:rFonts w:hint="eastAsia"/>
        <w:lang w:eastAsia="zh-CN"/>
      </w:rPr>
      <w:t>广西桂工建设管理咨询有限公司</w:t>
    </w:r>
    <w:r>
      <w:rPr>
        <w:rFonts w:hint="eastAsia"/>
      </w:rPr>
      <w:t xml:space="preserve">采购文件                                                    </w:t>
    </w:r>
  </w:p>
</w:hdr>
</file>

<file path=word/header9.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tabs>
        <w:tab w:val="center" w:pos="4153"/>
        <w:tab w:val="right" w:pos="8306"/>
      </w:tabs>
      <w:jc w:val="left"/>
    </w:pPr>
    <w:r>
      <w:rPr>
        <w:rFonts w:hint="eastAsia"/>
        <w:lang w:eastAsia="zh-CN"/>
      </w:rPr>
      <w:t>广西桂工建设管理咨询有限公司</w:t>
    </w:r>
    <w:r>
      <w:rPr>
        <w:rFonts w:hint="eastAsia"/>
      </w:rPr>
      <w:t>磋商文件                                                     评审方法及评审标准</w:t>
    </w:r>
  </w:p>
  <w:p>
    <w:pPr>
      <w:pStyle w:val="37"/>
      <w:pBdr>
        <w:bottom w:val="none" w:sz="0" w:space="0" w:color="auto"/>
      </w:pBdr>
      <w:tabs>
        <w:tab w:val="center" w:pos="4153"/>
        <w:tab w:val="right" w:pos="8306"/>
      </w:tabs>
      <w:jc w:val="left"/>
    </w:pPr>
  </w:p>
</w:hdr>
</file>

<file path=word/header10.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sz w:val="18"/>
        <w:szCs w:val="18"/>
        <w:u w:val="single"/>
      </w:rPr>
    </w:pPr>
    <w:r>
      <w:rPr>
        <w:rFonts w:hint="eastAsia"/>
        <w:sz w:val="18"/>
        <w:szCs w:val="18"/>
        <w:u w:val="single"/>
        <w:lang w:eastAsia="zh-CN"/>
      </w:rPr>
      <w:t>广西桂工建设管理咨询有限公司</w:t>
    </w:r>
    <w:r>
      <w:rPr>
        <w:rFonts w:hint="eastAsia"/>
        <w:sz w:val="18"/>
        <w:szCs w:val="18"/>
        <w:u w:val="single"/>
      </w:rPr>
      <w:t xml:space="preserve">采购文件                      </w:t>
    </w:r>
    <w:r>
      <w:rPr>
        <w:sz w:val="18"/>
        <w:szCs w:val="18"/>
        <w:u w:val="single"/>
      </w:rPr>
      <w:t xml:space="preserve">             </w:t>
    </w:r>
    <w:r>
      <w:rPr>
        <w:rFonts w:hint="eastAsia"/>
        <w:sz w:val="18"/>
        <w:szCs w:val="18"/>
        <w:u w:val="single"/>
      </w:rPr>
      <w:t xml:space="preserve">                                   </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13"/>
    <w:multiLevelType w:val="multilevel"/>
    <w:tmpl w:val="00000013"/>
    <w:lvl w:ilvl="0">
      <w:start w:val="1"/>
      <w:numFmt w:val="decimal"/>
      <w:lvlRestart w:val="0"/>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7D335EF8"/>
    <w:multiLevelType w:val="singleLevel"/>
    <w:tmpl w:val="7D335EF8"/>
    <w:lvl w:ilvl="0">
      <w:start w:val="1"/>
      <w:numFmt w:val="decimal"/>
      <w:lvlRestart w:val="0"/>
      <w:suff w:val="nothing"/>
      <w:lvlText w:val="（%1）"/>
      <w:lvlJc w:val="left"/>
      <w:pPr>
        <w:ind w:left="0" w:hanging="0"/>
      </w:pPr>
    </w:lvl>
  </w:abstractNum>
  <w:abstractNum w:abstractNumId="2">
    <w:nsid w:val="7D335EF9"/>
    <w:multiLevelType w:val="singleLevel"/>
    <w:tmpl w:val="7D335EF9"/>
    <w:lvl w:ilvl="0">
      <w:start w:val="1"/>
      <w:numFmt w:val="decimal"/>
      <w:lvlRestart w:val="0"/>
      <w:lvlText w:val="%1"/>
      <w:lvlJc w:val="left"/>
      <w:pPr>
        <w:ind w:left="425" w:hanging="425"/>
      </w:pPr>
      <w:rPr>
        <w:rFonts w:hint="default"/>
      </w:rPr>
    </w:lvl>
  </w:abstractNum>
  <w:abstractNum w:abstractNumId="3">
    <w:nsid w:val="6EDD6596"/>
    <w:multiLevelType w:val="singleLevel"/>
    <w:tmpl w:val="6EDD6596"/>
    <w:lvl w:ilvl="0">
      <w:start w:val="1"/>
      <w:numFmt w:val="decimal"/>
      <w:lvlRestart w:val="0"/>
      <w:suff w:val="space"/>
      <w:lvlText w:val="%1."/>
      <w:lvlJc w:val="left"/>
      <w:pPr>
        <w:ind w:left="0" w:hanging="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8"/>
  <w:doNotDisplayPageBoundaries/>
  <w:bordersDoNotSurroundHeader/>
  <w:bordersDoNotSurroundFooter/>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YmU0NTg3Njg0YjQ4NmUzYjk0MzI2OWM1NzY1OGJiYm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spacing w:before="340" w:after="330" w:line="576" w:lineRule="auto"/>
      <w:outlineLvl w:val="0"/>
    </w:pPr>
    <w:rPr>
      <w:b/>
      <w:bCs/>
      <w:kern w:val="44"/>
      <w:sz w:val="44"/>
      <w:szCs w:val="44"/>
    </w:rPr>
  </w:style>
  <w:style w:type="paragraph" w:styleId="2">
    <w:name w:val="heading 2"/>
    <w:basedOn w:val="0"/>
    <w:next w:val="0"/>
    <w:link w:val="2Char"/>
    <w:pPr>
      <w:keepNext/>
      <w:keepLines/>
      <w:widowControl w:val="0"/>
      <w:spacing w:before="260" w:after="260" w:line="413" w:lineRule="auto"/>
      <w:outlineLvl w:val="1"/>
    </w:pPr>
    <w:rPr>
      <w:rFonts w:ascii="Arial" w:eastAsia="黑体" w:hAnsi="Arial"/>
      <w:b/>
      <w:bCs/>
      <w:sz w:val="32"/>
      <w:szCs w:val="32"/>
    </w:rPr>
  </w:style>
  <w:style w:type="character" w:customStyle="1" w:styleId="2Char">
    <w:name w:val="heading 2 Char"/>
    <w:basedOn w:val="10"/>
    <w:link w:val="2"/>
    <w:rPr>
      <w:rFonts w:ascii="Arial" w:eastAsia="黑体" w:cs="Times New Roman" w:hAnsi="Arial"/>
      <w:b/>
      <w:bCs/>
      <w:kern w:val="2"/>
      <w:sz w:val="32"/>
      <w:szCs w:val="32"/>
      <w:lang w:val="en-US" w:eastAsia="zh-CN" w:bidi="ar-SA"/>
    </w:rPr>
  </w:style>
  <w:style w:type="paragraph" w:styleId="3">
    <w:name w:val="heading 3"/>
    <w:basedOn w:val="0"/>
    <w:next w:val="0"/>
    <w:pPr>
      <w:keepNext/>
      <w:keepLines/>
      <w:widowControl w:val="0"/>
      <w:spacing w:before="260" w:after="260" w:line="413" w:lineRule="auto"/>
      <w:outlineLvl w:val="2"/>
    </w:pPr>
    <w:rPr>
      <w:b/>
      <w:bCs/>
      <w:sz w:val="32"/>
      <w:szCs w:val="32"/>
    </w:rPr>
  </w:style>
  <w:style w:type="paragraph" w:styleId="4">
    <w:name w:val="heading 4"/>
    <w:basedOn w:val="0"/>
    <w:next w:val="0"/>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0"/>
    <w:next w:val="15"/>
    <w:pPr>
      <w:keepNext/>
      <w:keepLines/>
      <w:widowControl w:val="0"/>
      <w:spacing w:before="280" w:after="290" w:line="372" w:lineRule="auto"/>
      <w:outlineLvl w:val="4"/>
    </w:pPr>
    <w:rPr>
      <w:b/>
      <w:sz w:val="28"/>
    </w:rPr>
  </w:style>
  <w:style w:type="paragraph" w:styleId="6">
    <w:name w:val="heading 6"/>
    <w:basedOn w:val="0"/>
    <w:next w:val="15"/>
    <w:pPr>
      <w:keepNext/>
      <w:keepLines/>
      <w:widowControl w:val="0"/>
      <w:spacing w:before="240" w:after="64" w:line="317" w:lineRule="auto"/>
      <w:outlineLvl w:val="5"/>
    </w:pPr>
    <w:rPr>
      <w:rFonts w:ascii="Arial" w:eastAsia="黑体" w:hAnsi="Arial"/>
      <w:b/>
      <w:sz w:val="24"/>
    </w:rPr>
  </w:style>
  <w:style w:type="paragraph" w:styleId="7">
    <w:name w:val="heading 7"/>
    <w:basedOn w:val="0"/>
    <w:next w:val="15"/>
    <w:pPr>
      <w:keepNext/>
      <w:keepLines/>
      <w:widowControl w:val="0"/>
      <w:spacing w:before="240" w:after="64" w:line="317" w:lineRule="auto"/>
      <w:outlineLvl w:val="6"/>
    </w:pPr>
    <w:rPr>
      <w:b/>
      <w:sz w:val="24"/>
    </w:rPr>
  </w:style>
  <w:style w:type="paragraph" w:styleId="8">
    <w:name w:val="heading 8"/>
    <w:basedOn w:val="0"/>
    <w:next w:val="15"/>
    <w:pPr>
      <w:keepNext/>
      <w:keepLines/>
      <w:widowControl w:val="0"/>
      <w:spacing w:before="240" w:after="64" w:line="317" w:lineRule="auto"/>
      <w:outlineLvl w:val="7"/>
    </w:pPr>
    <w:rPr>
      <w:rFonts w:ascii="Arial" w:eastAsia="黑体" w:hAnsi="Arial"/>
      <w:sz w:val="24"/>
    </w:rPr>
  </w:style>
  <w:style w:type="paragraph" w:styleId="9">
    <w:name w:val="heading 9"/>
    <w:basedOn w:val="0"/>
    <w:next w:val="15"/>
    <w:pPr>
      <w:keepNext/>
      <w:keepLines/>
      <w:widowControl w:val="0"/>
      <w:spacing w:before="240" w:after="64" w:line="317" w:lineRule="auto"/>
      <w:outlineLvl w:val="8"/>
    </w:pPr>
    <w:rPr>
      <w:rFonts w:ascii="Arial" w:eastAsia="黑体" w:hAnsi="Arial"/>
    </w:rPr>
  </w:style>
  <w:style w:type="character" w:default="1" w:styleId="10">
    <w:name w:val="Default Paragraph Font"/>
  </w:style>
  <w:style w:type="paragraph" w:styleId="15">
    <w:name w:val="Normal Indent"/>
    <w:basedOn w:val="0"/>
    <w:pPr>
      <w:ind w:firstLine="420"/>
    </w:pPr>
    <w:rPr>
      <w:szCs w:val="20"/>
    </w:rPr>
  </w:style>
  <w:style w:type="paragraph" w:styleId="16">
    <w:name w:val="List 3"/>
    <w:basedOn w:val="0"/>
    <w:pPr>
      <w:ind w:leftChars="400" w:left="600" w:hangingChars="200" w:hanging="200"/>
    </w:pPr>
  </w:style>
  <w:style w:type="paragraph" w:styleId="17">
    <w:name w:val="toc 7"/>
    <w:basedOn w:val="0"/>
    <w:next w:val="0"/>
    <w:pPr>
      <w:tabs>
        <w:tab w:val="right" w:leader="dot" w:pos="9185"/>
      </w:tabs>
      <w:adjustRightInd w:val="0"/>
      <w:spacing w:line="312" w:lineRule="atLeast"/>
      <w:ind w:left="2520"/>
      <w:textAlignment w:val="baseline"/>
    </w:pPr>
    <w:rPr>
      <w:kern w:val="0"/>
      <w:szCs w:val="20"/>
    </w:rPr>
  </w:style>
  <w:style w:type="paragraph" w:styleId="18">
    <w:name w:val="List Number"/>
    <w:basedOn w:val="0"/>
    <w:pPr>
      <w:widowControl/>
      <w:tabs>
        <w:tab w:val="left" w:pos="454"/>
        <w:tab w:val="left" w:pos="720"/>
        <w:tab w:val="left" w:pos="840"/>
      </w:tabs>
      <w:spacing w:afterLines="50" w:after="50"/>
      <w:ind w:left="454" w:hanging="284"/>
      <w:jc w:val="left"/>
    </w:pPr>
    <w:rPr>
      <w:kern w:val="0"/>
      <w:sz w:val="24"/>
      <w:szCs w:val="20"/>
    </w:rPr>
  </w:style>
  <w:style w:type="paragraph" w:styleId="19">
    <w:name w:val="caption"/>
    <w:basedOn w:val="0"/>
    <w:next w:val="0"/>
    <w:pPr>
      <w:spacing w:before="152" w:after="160"/>
    </w:pPr>
    <w:rPr>
      <w:rFonts w:ascii="Arial" w:eastAsia="黑体" w:cs="Arial" w:hAnsi="Arial"/>
      <w:sz w:val="20"/>
      <w:szCs w:val="20"/>
    </w:rPr>
  </w:style>
  <w:style w:type="paragraph" w:styleId="20">
    <w:name w:val="Document Map"/>
    <w:basedOn w:val="0"/>
    <w:pPr>
      <w:shd w:val="clear" w:color="auto" w:fill="000080"/>
      <w:adjustRightInd w:val="0"/>
      <w:spacing w:line="312" w:lineRule="atLeast"/>
      <w:textAlignment w:val="baseline"/>
    </w:pPr>
    <w:rPr>
      <w:kern w:val="0"/>
      <w:szCs w:val="20"/>
    </w:rPr>
  </w:style>
  <w:style w:type="paragraph" w:styleId="21">
    <w:name w:val="annotation text"/>
    <w:basedOn w:val="0"/>
    <w:pPr>
      <w:jc w:val="left"/>
    </w:pPr>
  </w:style>
  <w:style w:type="paragraph" w:styleId="22">
    <w:name w:val="Body Text 3"/>
    <w:basedOn w:val="0"/>
    <w:pPr>
      <w:spacing w:line="500" w:lineRule="exact"/>
    </w:pPr>
    <w:rPr>
      <w:b/>
      <w:bCs/>
      <w:sz w:val="24"/>
    </w:rPr>
  </w:style>
  <w:style w:type="paragraph" w:styleId="23">
    <w:name w:val="Body Text"/>
    <w:basedOn w:val="0"/>
    <w:pPr>
      <w:spacing w:line="380" w:lineRule="exact"/>
    </w:pPr>
    <w:rPr>
      <w:sz w:val="24"/>
    </w:rPr>
  </w:style>
  <w:style w:type="paragraph" w:styleId="24">
    <w:name w:val="Body Text Indent"/>
    <w:basedOn w:val="0"/>
    <w:pPr>
      <w:ind w:firstLineChars="352" w:firstLine="352"/>
    </w:pPr>
    <w:rPr>
      <w:rFonts w:ascii="仿宋_GB2312" w:eastAsia="仿宋_GB2312"/>
      <w:sz w:val="32"/>
      <w:szCs w:val="20"/>
    </w:rPr>
  </w:style>
  <w:style w:type="paragraph" w:styleId="25">
    <w:name w:val="List Number 3"/>
    <w:basedOn w:val="0"/>
    <w:pPr>
      <w:tabs>
        <w:tab w:val="left" w:pos="1200"/>
      </w:tabs>
      <w:ind w:leftChars="400" w:left="600" w:hangingChars="200" w:hanging="200"/>
    </w:pPr>
  </w:style>
  <w:style w:type="paragraph" w:styleId="26">
    <w:name w:val="List 2"/>
    <w:basedOn w:val="0"/>
    <w:pPr>
      <w:ind w:leftChars="200" w:left="400" w:hangingChars="200" w:hanging="200"/>
    </w:pPr>
    <w:rPr>
      <w:sz w:val="28"/>
    </w:rPr>
  </w:style>
  <w:style w:type="paragraph" w:styleId="27">
    <w:name w:val="Block Text"/>
    <w:basedOn w:val="0"/>
    <w:pPr>
      <w:adjustRightInd w:val="0"/>
      <w:ind w:left="420" w:right="33"/>
      <w:jc w:val="left"/>
      <w:textAlignment w:val="baseline"/>
    </w:pPr>
    <w:rPr>
      <w:kern w:val="0"/>
      <w:sz w:val="24"/>
      <w:szCs w:val="20"/>
    </w:rPr>
  </w:style>
  <w:style w:type="paragraph" w:styleId="28">
    <w:name w:val="index 4"/>
    <w:basedOn w:val="0"/>
    <w:next w:val="0"/>
    <w:pPr>
      <w:ind w:leftChars="600" w:left="600"/>
    </w:pPr>
  </w:style>
  <w:style w:type="paragraph" w:styleId="29">
    <w:name w:val="toc 5"/>
    <w:basedOn w:val="0"/>
    <w:next w:val="0"/>
    <w:pPr>
      <w:tabs>
        <w:tab w:val="right" w:leader="dot" w:pos="9185"/>
      </w:tabs>
      <w:adjustRightInd w:val="0"/>
      <w:spacing w:line="312" w:lineRule="atLeast"/>
      <w:ind w:left="1680"/>
      <w:textAlignment w:val="baseline"/>
    </w:pPr>
    <w:rPr>
      <w:kern w:val="0"/>
      <w:szCs w:val="20"/>
    </w:rPr>
  </w:style>
  <w:style w:type="paragraph" w:styleId="30">
    <w:name w:val="toc 3"/>
    <w:basedOn w:val="0"/>
    <w:next w:val="0"/>
    <w:pPr>
      <w:ind w:leftChars="400" w:left="400"/>
    </w:pPr>
  </w:style>
  <w:style w:type="paragraph" w:styleId="31">
    <w:name w:val="Plain Text"/>
    <w:basedOn w:val="0"/>
    <w:rPr>
      <w:rFonts w:ascii="宋体" w:cs="Courier New"/>
      <w:szCs w:val="21"/>
    </w:rPr>
  </w:style>
  <w:style w:type="paragraph" w:styleId="32">
    <w:name w:val="toc 8"/>
    <w:basedOn w:val="0"/>
    <w:next w:val="0"/>
    <w:pPr>
      <w:tabs>
        <w:tab w:val="right" w:leader="dot" w:pos="9185"/>
      </w:tabs>
      <w:adjustRightInd w:val="0"/>
      <w:spacing w:line="312" w:lineRule="atLeast"/>
      <w:ind w:left="2940"/>
      <w:textAlignment w:val="baseline"/>
    </w:pPr>
    <w:rPr>
      <w:kern w:val="0"/>
      <w:szCs w:val="20"/>
    </w:rPr>
  </w:style>
  <w:style w:type="paragraph" w:styleId="33">
    <w:name w:val="Date"/>
    <w:basedOn w:val="0"/>
    <w:next w:val="0"/>
    <w:pPr>
      <w:ind w:leftChars="2500" w:left="2500"/>
    </w:pPr>
    <w:rPr>
      <w:rFonts w:ascii="宋体"/>
      <w:szCs w:val="21"/>
    </w:rPr>
  </w:style>
  <w:style w:type="paragraph" w:styleId="34">
    <w:name w:val="Body Text Indent 2"/>
    <w:basedOn w:val="0"/>
    <w:pPr>
      <w:ind w:firstLine="630"/>
    </w:pPr>
    <w:rPr>
      <w:sz w:val="32"/>
      <w:szCs w:val="20"/>
    </w:rPr>
  </w:style>
  <w:style w:type="paragraph" w:styleId="35">
    <w:name w:val="Balloon Text"/>
    <w:basedOn w:val="0"/>
    <w:rPr>
      <w:sz w:val="18"/>
      <w:szCs w:val="18"/>
    </w:rPr>
  </w:style>
  <w:style w:type="paragraph" w:styleId="36">
    <w:name w:val="footer"/>
    <w:basedOn w:val="0"/>
    <w:next w:val="0"/>
    <w:pPr>
      <w:tabs>
        <w:tab w:val="center" w:pos="4153"/>
        <w:tab w:val="right" w:pos="8306"/>
      </w:tabs>
      <w:snapToGrid w:val="0"/>
      <w:jc w:val="left"/>
    </w:pPr>
    <w:rPr>
      <w:sz w:val="18"/>
      <w:szCs w:val="18"/>
    </w:rPr>
  </w:style>
  <w:style w:type="paragraph" w:styleId="37">
    <w:name w:val="header"/>
    <w:basedOn w:val="0"/>
    <w:pPr>
      <w:pBdr>
        <w:bottom w:val="single" w:sz="6" w:space="1" w:color="auto"/>
      </w:pBdr>
      <w:tabs>
        <w:tab w:val="center" w:pos="4153"/>
        <w:tab w:val="right" w:pos="8306"/>
      </w:tabs>
      <w:snapToGrid w:val="0"/>
      <w:jc w:val="center"/>
    </w:pPr>
    <w:rPr>
      <w:sz w:val="18"/>
      <w:szCs w:val="18"/>
    </w:rPr>
  </w:style>
  <w:style w:type="paragraph" w:styleId="38">
    <w:name w:val="toc 1"/>
    <w:basedOn w:val="0"/>
    <w:next w:val="0"/>
    <w:pPr>
      <w:tabs>
        <w:tab w:val="right" w:leader="dot" w:pos="8398"/>
      </w:tabs>
      <w:spacing w:before="120" w:after="120"/>
      <w:ind w:firstLineChars="100" w:firstLine="100"/>
      <w:jc w:val="left"/>
    </w:pPr>
    <w:rPr>
      <w:rFonts w:ascii="宋体"/>
      <w:b/>
      <w:bCs/>
      <w:caps/>
      <w:smallCaps w:val="0"/>
      <w:sz w:val="24"/>
    </w:rPr>
  </w:style>
  <w:style w:type="paragraph" w:styleId="39">
    <w:name w:val="toc 4"/>
    <w:basedOn w:val="0"/>
    <w:next w:val="0"/>
    <w:pPr>
      <w:tabs>
        <w:tab w:val="right" w:leader="dot" w:pos="9185"/>
      </w:tabs>
      <w:adjustRightInd w:val="0"/>
      <w:spacing w:line="312" w:lineRule="atLeast"/>
      <w:ind w:left="1260"/>
      <w:textAlignment w:val="baseline"/>
    </w:pPr>
    <w:rPr>
      <w:kern w:val="0"/>
      <w:szCs w:val="20"/>
    </w:rPr>
  </w:style>
  <w:style w:type="paragraph" w:styleId="40">
    <w:name w:val="Subtitle"/>
    <w:basedOn w:val="0"/>
    <w:next w:val="0"/>
    <w:pPr>
      <w:spacing w:before="240" w:after="60" w:line="312" w:lineRule="auto"/>
      <w:jc w:val="center"/>
      <w:outlineLvl w:val="1"/>
    </w:pPr>
    <w:rPr>
      <w:rFonts w:ascii="Cambria" w:hAnsi="Cambria"/>
      <w:b/>
      <w:bCs/>
      <w:kern w:val="28"/>
      <w:sz w:val="32"/>
      <w:szCs w:val="32"/>
    </w:rPr>
  </w:style>
  <w:style w:type="paragraph" w:styleId="41">
    <w:name w:val="List"/>
    <w:basedOn w:val="0"/>
    <w:pPr>
      <w:ind w:left="200" w:hangingChars="200" w:hanging="200"/>
    </w:pPr>
    <w:rPr>
      <w:sz w:val="28"/>
    </w:rPr>
  </w:style>
  <w:style w:type="paragraph" w:styleId="42">
    <w:name w:val="footnote text"/>
    <w:basedOn w:val="0"/>
    <w:pPr>
      <w:adjustRightInd w:val="0"/>
      <w:spacing w:line="312" w:lineRule="atLeast"/>
      <w:jc w:val="left"/>
      <w:textAlignment w:val="baseline"/>
    </w:pPr>
    <w:rPr>
      <w:kern w:val="0"/>
      <w:sz w:val="18"/>
      <w:szCs w:val="20"/>
    </w:rPr>
  </w:style>
  <w:style w:type="paragraph" w:styleId="43">
    <w:name w:val="toc 6"/>
    <w:basedOn w:val="0"/>
    <w:next w:val="0"/>
    <w:pPr>
      <w:tabs>
        <w:tab w:val="right" w:leader="dot" w:pos="9185"/>
      </w:tabs>
      <w:adjustRightInd w:val="0"/>
      <w:spacing w:line="312" w:lineRule="atLeast"/>
      <w:ind w:left="2100"/>
      <w:textAlignment w:val="baseline"/>
    </w:pPr>
    <w:rPr>
      <w:kern w:val="0"/>
      <w:szCs w:val="20"/>
    </w:rPr>
  </w:style>
  <w:style w:type="paragraph" w:styleId="44">
    <w:name w:val="List 5"/>
    <w:basedOn w:val="0"/>
    <w:pPr>
      <w:ind w:left="2100" w:hanging="420"/>
    </w:pPr>
    <w:rPr>
      <w:szCs w:val="20"/>
    </w:rPr>
  </w:style>
  <w:style w:type="paragraph" w:styleId="45">
    <w:name w:val="Body Text Indent 3"/>
    <w:basedOn w:val="0"/>
    <w:pPr>
      <w:spacing w:after="120"/>
      <w:ind w:leftChars="200" w:left="200"/>
    </w:pPr>
    <w:rPr>
      <w:sz w:val="16"/>
      <w:szCs w:val="16"/>
    </w:rPr>
  </w:style>
  <w:style w:type="paragraph" w:styleId="46">
    <w:name w:val="toc 2"/>
    <w:basedOn w:val="0"/>
    <w:next w:val="0"/>
    <w:pPr>
      <w:ind w:leftChars="200" w:left="200"/>
    </w:pPr>
  </w:style>
  <w:style w:type="paragraph" w:styleId="47">
    <w:name w:val="toc 9"/>
    <w:basedOn w:val="0"/>
    <w:next w:val="0"/>
    <w:pPr>
      <w:tabs>
        <w:tab w:val="right" w:leader="dot" w:pos="9185"/>
      </w:tabs>
      <w:adjustRightInd w:val="0"/>
      <w:spacing w:line="312" w:lineRule="atLeast"/>
      <w:ind w:left="3360"/>
      <w:textAlignment w:val="baseline"/>
    </w:pPr>
    <w:rPr>
      <w:kern w:val="0"/>
      <w:szCs w:val="20"/>
    </w:rPr>
  </w:style>
  <w:style w:type="paragraph" w:styleId="48">
    <w:name w:val="Body Text 2"/>
    <w:basedOn w:val="0"/>
    <w:pPr>
      <w:spacing w:after="120" w:line="480" w:lineRule="auto"/>
    </w:pPr>
  </w:style>
  <w:style w:type="paragraph" w:styleId="49">
    <w:name w:val="List 4"/>
    <w:basedOn w:val="0"/>
    <w:pPr>
      <w:ind w:leftChars="600" w:left="800" w:hangingChars="200" w:hanging="200"/>
    </w:pPr>
  </w:style>
  <w:style w:type="paragraph" w:styleId="50">
    <w:name w:val="List Continue 2"/>
    <w:basedOn w:val="0"/>
    <w:pPr>
      <w:spacing w:after="120"/>
      <w:ind w:leftChars="400" w:left="400"/>
    </w:pPr>
  </w:style>
  <w:style w:type="paragraph" w:styleId="51">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szCs w:val="20"/>
    </w:rPr>
  </w:style>
  <w:style w:type="paragraph" w:styleId="52">
    <w:name w:val="Normal (Web)"/>
    <w:basedOn w:val="0"/>
    <w:pPr>
      <w:widowControl/>
      <w:spacing w:before="100" w:beforeAutospacing="1" w:after="100" w:afterAutospacing="1"/>
      <w:jc w:val="left"/>
    </w:pPr>
    <w:rPr>
      <w:rFonts w:ascii="宋体"/>
      <w:kern w:val="0"/>
      <w:sz w:val="24"/>
    </w:rPr>
  </w:style>
  <w:style w:type="paragraph" w:styleId="53">
    <w:name w:val="index 1"/>
    <w:basedOn w:val="0"/>
    <w:next w:val="0"/>
    <w:pPr>
      <w:spacing w:line="400" w:lineRule="exact"/>
      <w:ind w:firstLineChars="200" w:firstLine="200"/>
    </w:pPr>
    <w:rPr>
      <w:rFonts w:ascii="宋体"/>
      <w:b/>
      <w:szCs w:val="20"/>
    </w:rPr>
  </w:style>
  <w:style w:type="paragraph" w:styleId="54">
    <w:name w:val="Title"/>
    <w:basedOn w:val="0"/>
    <w:pPr>
      <w:jc w:val="center"/>
    </w:pPr>
    <w:rPr>
      <w:sz w:val="30"/>
    </w:rPr>
  </w:style>
  <w:style w:type="paragraph" w:styleId="55">
    <w:name w:val="annotation subject"/>
    <w:basedOn w:val="21"/>
    <w:next w:val="21"/>
    <w:rPr>
      <w:b/>
      <w:bCs/>
    </w:rPr>
  </w:style>
  <w:style w:type="paragraph" w:styleId="56">
    <w:name w:val="Body Text First Indent"/>
    <w:basedOn w:val="23"/>
    <w:pPr>
      <w:spacing w:after="120" w:line="240" w:lineRule="auto"/>
      <w:ind w:firstLineChars="100" w:firstLine="100"/>
    </w:pPr>
    <w:rPr>
      <w:sz w:val="21"/>
    </w:rPr>
  </w:style>
  <w:style w:type="paragraph" w:styleId="57">
    <w:name w:val="Body Text First Indent 2"/>
    <w:basedOn w:val="24"/>
    <w:pPr>
      <w:spacing w:after="120"/>
      <w:ind w:leftChars="200" w:left="200" w:firstLineChars="200" w:firstLine="200"/>
    </w:pPr>
    <w:rPr>
      <w:rFonts w:ascii="Times New Roman" w:eastAsia="宋体" w:hAnsi="Times New Roman"/>
      <w:sz w:val="21"/>
      <w:szCs w:val="24"/>
    </w:rPr>
  </w:style>
  <w:style w:type="character" w:styleId="58">
    <w:name w:val="Strong"/>
    <w:rPr>
      <w:b/>
      <w:bCs/>
    </w:rPr>
  </w:style>
  <w:style w:type="character" w:styleId="59">
    <w:name w:val="page number"/>
  </w:style>
  <w:style w:type="character" w:styleId="60">
    <w:name w:val="FollowedHyperlink"/>
    <w:rPr>
      <w:color w:val="800080"/>
      <w:u w:val="single"/>
    </w:rPr>
  </w:style>
  <w:style w:type="character" w:styleId="61">
    <w:name w:val="Emphasis"/>
    <w:rPr>
      <w:i/>
      <w:iCs/>
    </w:rPr>
  </w:style>
  <w:style w:type="character" w:styleId="62">
    <w:name w:val="Hyperlink"/>
    <w:rPr>
      <w:color w:val="0000FF"/>
      <w:u w:val="single"/>
    </w:rPr>
  </w:style>
  <w:style w:type="character" w:styleId="63">
    <w:name w:val="annotation reference"/>
    <w:rPr>
      <w:sz w:val="21"/>
      <w:szCs w:val="21"/>
    </w:rPr>
  </w:style>
  <w:style w:type="character" w:customStyle="1" w:styleId="64">
    <w:name w:val="标题 1 Char"/>
    <w:rPr>
      <w:rFonts w:eastAsia="宋体"/>
      <w:b/>
      <w:bCs/>
      <w:kern w:val="44"/>
      <w:sz w:val="44"/>
      <w:szCs w:val="44"/>
      <w:lang w:val="en-US" w:eastAsia="zh-CN" w:bidi="ar-SA"/>
    </w:rPr>
  </w:style>
  <w:style w:type="character" w:customStyle="1" w:styleId="65">
    <w:name w:val="标题 3 Char"/>
    <w:rPr>
      <w:b/>
      <w:bCs/>
      <w:kern w:val="2"/>
      <w:sz w:val="32"/>
      <w:szCs w:val="32"/>
    </w:rPr>
  </w:style>
  <w:style w:type="character" w:customStyle="1" w:styleId="66">
    <w:name w:val="content2"/>
  </w:style>
  <w:style w:type="character" w:customStyle="1" w:styleId="67">
    <w:name w:val="case31"/>
    <w:rPr>
      <w:sz w:val="21"/>
      <w:szCs w:val="21"/>
    </w:rPr>
  </w:style>
  <w:style w:type="character" w:customStyle="1" w:styleId="68">
    <w:name w:val="062"/>
    <w:rPr>
      <w:rFonts w:ascii="宋体"/>
      <w:b/>
      <w:bCs/>
      <w:sz w:val="32"/>
    </w:rPr>
  </w:style>
  <w:style w:type="character" w:customStyle="1" w:styleId="69">
    <w:name w:val="f151"/>
    <w:rPr>
      <w:sz w:val="23"/>
      <w:szCs w:val="23"/>
    </w:rPr>
  </w:style>
  <w:style w:type="character" w:customStyle="1" w:styleId="70">
    <w:name w:val="unnamed3"/>
  </w:style>
  <w:style w:type="paragraph" w:customStyle="1" w:styleId="71">
    <w:name w:val="z-窗体顶端1"/>
    <w:basedOn w:val="0"/>
    <w:next w:val="0"/>
    <w:pPr>
      <w:pBdr>
        <w:bottom w:val="single" w:sz="6" w:space="1" w:color="auto"/>
      </w:pBdr>
      <w:jc w:val="center"/>
    </w:pPr>
    <w:rPr>
      <w:rFonts w:ascii="Arial" w:hAnsi="Arial"/>
      <w:vanish/>
      <w:sz w:val="16"/>
    </w:rPr>
  </w:style>
  <w:style w:type="character" w:customStyle="1" w:styleId="72">
    <w:name w:val="gray12"/>
  </w:style>
  <w:style w:type="character" w:customStyle="1" w:styleId="73">
    <w:name w:val="style11"/>
    <w:rPr>
      <w:rFonts w:ascii="Arial" w:cs="Arial" w:hAnsi="Arial"/>
    </w:rPr>
  </w:style>
  <w:style w:type="character" w:customStyle="1" w:styleId="74">
    <w:name w:val="纯文本 Char1"/>
    <w:rPr>
      <w:rFonts w:ascii="宋体" w:eastAsia="宋体" w:cs="Courier New"/>
      <w:kern w:val="2"/>
      <w:sz w:val="21"/>
      <w:szCs w:val="21"/>
      <w:lang w:val="en-US" w:eastAsia="zh-CN" w:bidi="ar-SA"/>
    </w:rPr>
  </w:style>
  <w:style w:type="character" w:customStyle="1" w:styleId="75">
    <w:name w:val="text11"/>
    <w:rPr>
      <w:rFonts w:ascii="Verdana" w:hAnsi="Verdana"/>
      <w:color w:val="4E4E4E"/>
      <w:sz w:val="18"/>
      <w:szCs w:val="18"/>
    </w:rPr>
  </w:style>
  <w:style w:type="paragraph" w:customStyle="1" w:styleId="76">
    <w:name w:val="1ji"/>
    <w:basedOn w:val="1"/>
    <w:pPr>
      <w:keepNext/>
      <w:keepLines w:val="0"/>
      <w:widowControl/>
      <w:spacing w:before="0" w:after="0" w:line="240" w:lineRule="auto"/>
      <w:jc w:val="center"/>
    </w:pPr>
    <w:rPr>
      <w:rFonts w:ascii="宋体"/>
      <w:sz w:val="36"/>
    </w:rPr>
  </w:style>
  <w:style w:type="character" w:customStyle="1" w:styleId="77">
    <w:name w:val="short_text1"/>
    <w:rPr>
      <w:sz w:val="26"/>
    </w:rPr>
  </w:style>
  <w:style w:type="character" w:customStyle="1" w:styleId="78">
    <w:name w:val="mark8"/>
    <w:rPr>
      <w:b/>
      <w:bCs/>
      <w:sz w:val="21"/>
      <w:szCs w:val="21"/>
    </w:rPr>
  </w:style>
  <w:style w:type="character" w:customStyle="1" w:styleId="79">
    <w:name w:val="white"/>
  </w:style>
  <w:style w:type="character" w:customStyle="1" w:styleId="80">
    <w:name w:val="graytext1"/>
    <w:rPr>
      <w:color w:val="666666"/>
    </w:rPr>
  </w:style>
  <w:style w:type="character" w:customStyle="1" w:styleId="81">
    <w:name w:val="small"/>
  </w:style>
  <w:style w:type="character" w:customStyle="1" w:styleId="82">
    <w:name w:val="style21"/>
    <w:rPr>
      <w:sz w:val="17"/>
      <w:szCs w:val="17"/>
    </w:rPr>
  </w:style>
  <w:style w:type="character" w:customStyle="1" w:styleId="83">
    <w:name w:val="1051"/>
    <w:rPr>
      <w:sz w:val="21"/>
      <w:szCs w:val="21"/>
    </w:rPr>
  </w:style>
  <w:style w:type="character" w:customStyle="1" w:styleId="84">
    <w:name w:val="apple-converted-space"/>
  </w:style>
  <w:style w:type="character" w:customStyle="1" w:styleId="85">
    <w:name w:val="font01"/>
    <w:rPr>
      <w:rFonts w:ascii="宋体" w:eastAsia="宋体"/>
      <w:color w:val="000000"/>
      <w:sz w:val="22"/>
      <w:szCs w:val="22"/>
      <w:u w:val="none"/>
    </w:rPr>
  </w:style>
  <w:style w:type="paragraph" w:customStyle="1" w:styleId="86">
    <w:name w:val="标题3"/>
    <w:basedOn w:val="1"/>
    <w:pPr>
      <w:spacing w:beforeLines="50" w:before="50" w:afterLines="50" w:after="50" w:line="400" w:lineRule="exact"/>
    </w:pPr>
    <w:rPr>
      <w:rFonts w:ascii="宋体"/>
      <w:sz w:val="24"/>
      <w:szCs w:val="24"/>
    </w:rPr>
  </w:style>
  <w:style w:type="paragraph" w:customStyle="1" w:styleId="87">
    <w:name w:val="Char"/>
    <w:basedOn w:val="0"/>
    <w:pPr>
      <w:widowControl/>
      <w:spacing w:line="500" w:lineRule="exact"/>
      <w:outlineLvl w:val="2"/>
    </w:pPr>
    <w:rPr>
      <w:rFonts w:ascii="黑体" w:eastAsia="黑体" w:cs="黑体"/>
      <w:kern w:val="0"/>
      <w:sz w:val="28"/>
      <w:szCs w:val="28"/>
    </w:rPr>
  </w:style>
  <w:style w:type="paragraph" w:customStyle="1" w:styleId="88">
    <w:name w:val="Char Char Char Char Char Char Char Char Char Char Char Char Char Char Char Char"/>
    <w:basedOn w:val="0"/>
    <w:pPr>
      <w:tabs>
        <w:tab w:val="left" w:pos="360"/>
      </w:tabs>
      <w:spacing w:line="360" w:lineRule="auto"/>
      <w:ind w:left="482" w:firstLineChars="200" w:firstLine="200"/>
    </w:pPr>
    <w:rPr>
      <w:rFonts w:ascii="宋体"/>
      <w:sz w:val="24"/>
    </w:rPr>
  </w:style>
  <w:style w:type="paragraph" w:customStyle="1" w:styleId="89">
    <w:name w:val="Char1"/>
    <w:basedOn w:val="0"/>
    <w:rPr>
      <w:szCs w:val="21"/>
    </w:rPr>
  </w:style>
  <w:style w:type="paragraph" w:customStyle="1" w:styleId="90">
    <w:name w:val="List Paragraph"/>
    <w:basedOn w:val="0"/>
    <w:pPr>
      <w:ind w:firstLineChars="200" w:firstLine="200"/>
    </w:pPr>
    <w:rPr>
      <w:rFonts w:ascii="Calibri" w:hAnsi="Calibri"/>
      <w:szCs w:val="22"/>
    </w:rPr>
  </w:style>
  <w:style w:type="paragraph" w:customStyle="1" w:styleId="91">
    <w:name w:val="缺省文本"/>
    <w:basedOn w:val="0"/>
    <w:pPr>
      <w:autoSpaceDE w:val="0"/>
      <w:autoSpaceDN w:val="0"/>
      <w:adjustRightInd w:val="0"/>
      <w:spacing w:line="360" w:lineRule="auto"/>
      <w:jc w:val="left"/>
    </w:pPr>
    <w:rPr>
      <w:kern w:val="0"/>
      <w:sz w:val="24"/>
      <w:szCs w:val="20"/>
    </w:rPr>
  </w:style>
  <w:style w:type="paragraph" w:customStyle="1" w:styleId="92">
    <w:name w:val="2"/>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Char Char Char Char Char Char Char Char Char Char Char Char Char Char Char Char2"/>
    <w:basedOn w:val="0"/>
    <w:pPr>
      <w:tabs>
        <w:tab w:val="left" w:pos="360"/>
      </w:tabs>
      <w:spacing w:line="360" w:lineRule="auto"/>
      <w:ind w:left="482" w:firstLineChars="200" w:firstLine="200"/>
    </w:pPr>
    <w:rPr>
      <w:rFonts w:ascii="宋体"/>
      <w:sz w:val="24"/>
    </w:rPr>
  </w:style>
  <w:style w:type="paragraph" w:customStyle="1" w:styleId="94">
    <w:name w:val="xl30"/>
    <w:basedOn w:val="0"/>
    <w:pPr>
      <w:widowControl/>
      <w:pBdr>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95">
    <w:name w:val="正文首行缩进两字符"/>
    <w:basedOn w:val="0"/>
    <w:pPr>
      <w:spacing w:line="360" w:lineRule="auto"/>
      <w:ind w:firstLineChars="200" w:firstLine="200"/>
    </w:pPr>
  </w:style>
  <w:style w:type="paragraph" w:customStyle="1" w:styleId="96">
    <w:name w:val="样式 标题 2 + Times New Roman 四号 非加粗 段前: 5 磅 段后: 0 磅 行距: 固定值 20..."/>
    <w:basedOn w:val="2"/>
    <w:pPr>
      <w:spacing w:before="100" w:after="0" w:line="400" w:lineRule="exact"/>
    </w:pPr>
    <w:rPr>
      <w:rFonts w:ascii="Times New Roman" w:cs="宋体" w:hAnsi="Times New Roman"/>
      <w:b w:val="0"/>
      <w:bCs w:val="0"/>
      <w:sz w:val="28"/>
      <w:szCs w:val="20"/>
    </w:rPr>
  </w:style>
  <w:style w:type="paragraph" w:customStyle="1" w:styleId="97">
    <w:name w:val="表内文字"/>
    <w:basedOn w:val="0"/>
    <w:pPr>
      <w:snapToGrid w:val="0"/>
      <w:spacing w:before="50" w:after="50"/>
      <w:jc w:val="center"/>
    </w:pPr>
    <w:rPr>
      <w:rFonts w:ascii="仿宋_GB2312" w:eastAsia="仿宋_GB2312"/>
      <w:b/>
      <w:color w:val="000000"/>
      <w:sz w:val="32"/>
      <w:szCs w:val="32"/>
    </w:rPr>
  </w:style>
  <w:style w:type="paragraph" w:customStyle="1" w:styleId="98">
    <w:name w:val="Char Char Char"/>
    <w:basedOn w:val="0"/>
    <w:rPr>
      <w:rFonts w:ascii="Tahoma" w:hAnsi="Tahoma"/>
      <w:sz w:val="24"/>
      <w:szCs w:val="20"/>
    </w:rPr>
  </w:style>
  <w:style w:type="paragraph" w:customStyle="1" w:styleId="99">
    <w:name w:val="样式 首行缩进:  2 字符"/>
    <w:basedOn w:val="0"/>
    <w:pPr>
      <w:spacing w:line="400" w:lineRule="exact"/>
      <w:ind w:firstLineChars="200" w:firstLine="200"/>
    </w:pPr>
    <w:rPr>
      <w:rFonts w:cs="宋体"/>
      <w:sz w:val="24"/>
    </w:rPr>
  </w:style>
  <w:style w:type="paragraph" w:customStyle="1" w:styleId="100">
    <w:name w:val="表格"/>
    <w:basedOn w:val="0"/>
    <w:next w:val="101"/>
    <w:pPr>
      <w:spacing w:line="400" w:lineRule="exact"/>
    </w:pPr>
    <w:rPr>
      <w:sz w:val="24"/>
    </w:rPr>
  </w:style>
  <w:style w:type="paragraph" w:customStyle="1" w:styleId="101">
    <w:name w:val="正文_3"/>
    <w:next w:val="103"/>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正文文本缩进_1"/>
    <w:basedOn w:val="101"/>
    <w:pPr>
      <w:spacing w:before="240" w:line="360" w:lineRule="auto"/>
      <w:ind w:firstLineChars="263" w:firstLine="263"/>
    </w:pPr>
    <w:rPr>
      <w:rFonts w:ascii="宋体"/>
      <w:szCs w:val="20"/>
    </w:rPr>
  </w:style>
  <w:style w:type="paragraph" w:customStyle="1" w:styleId="103">
    <w:name w:val="正文首行缩进 2_0"/>
    <w:basedOn w:val="102"/>
    <w:pPr>
      <w:tabs>
        <w:tab w:val="left" w:pos="0"/>
      </w:tabs>
      <w:spacing w:line="500" w:lineRule="exact"/>
      <w:ind w:firstLineChars="200" w:firstLine="200"/>
    </w:pPr>
    <w:rPr>
      <w:rFonts w:ascii="Calibri" w:hAnsi="Calibri"/>
    </w:rPr>
  </w:style>
  <w:style w:type="paragraph" w:customStyle="1" w:styleId="104">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5">
    <w:name w:val="Char Char Char Char Char Char Char"/>
    <w:basedOn w:val="0"/>
  </w:style>
  <w:style w:type="paragraph" w:customStyle="1" w:styleId="106">
    <w:name w:val="Char Char Char3"/>
    <w:basedOn w:val="20"/>
    <w:pPr>
      <w:adjustRightInd/>
      <w:spacing w:line="240" w:lineRule="auto"/>
      <w:textAlignment w:val="auto"/>
    </w:pPr>
    <w:rPr>
      <w:rFonts w:ascii="Tahoma" w:hAnsi="Tahoma"/>
      <w:kern w:val="2"/>
      <w:sz w:val="24"/>
      <w:szCs w:val="24"/>
    </w:rPr>
  </w:style>
  <w:style w:type="paragraph" w:customStyle="1" w:styleId="107">
    <w:name w:val="样式1"/>
    <w:basedOn w:val="0"/>
    <w:pPr>
      <w:spacing w:before="120" w:after="120" w:line="300" w:lineRule="auto"/>
    </w:pPr>
    <w:rPr>
      <w:rFonts w:ascii="宋体"/>
      <w:b/>
      <w:sz w:val="24"/>
      <w:szCs w:val="20"/>
    </w:rPr>
  </w:style>
  <w:style w:type="paragraph" w:customStyle="1" w:styleId="108">
    <w:name w:val="xl26"/>
    <w:basedOn w:val="0"/>
    <w:pPr>
      <w:widowControl/>
      <w:pBdr>
        <w:left w:val="single" w:sz="4" w:space="0" w:color="auto"/>
        <w:bottom w:val="single" w:sz="4" w:space="0" w:color="auto"/>
        <w:right w:val="single" w:sz="4" w:space="0" w:color="auto"/>
      </w:pBdr>
      <w:spacing w:before="100" w:beforeAutospacing="1" w:after="100" w:afterAutospacing="1"/>
    </w:pPr>
    <w:rPr>
      <w:kern w:val="0"/>
      <w:szCs w:val="21"/>
    </w:rPr>
  </w:style>
  <w:style w:type="paragraph" w:customStyle="1" w:styleId="109">
    <w:name w:val="Char Char Char Char Char Char Char2"/>
    <w:basedOn w:val="0"/>
  </w:style>
  <w:style w:type="paragraph" w:customStyle="1" w:styleId="110">
    <w:name w:val="xl31"/>
    <w:basedOn w:val="0"/>
    <w:pPr>
      <w:widowControl/>
      <w:pBdr>
        <w:bottom w:val="single" w:sz="4" w:space="0" w:color="auto"/>
        <w:right w:val="single" w:sz="4" w:space="0" w:color="auto"/>
      </w:pBdr>
      <w:spacing w:before="100" w:beforeAutospacing="1" w:after="100" w:afterAutospacing="1"/>
      <w:jc w:val="center"/>
    </w:pPr>
    <w:rPr>
      <w:rFonts w:ascii="宋体"/>
      <w:kern w:val="0"/>
      <w:szCs w:val="21"/>
    </w:rPr>
  </w:style>
  <w:style w:type="paragraph" w:customStyle="1" w:styleId="111">
    <w:name w:val="次小点说明 Char"/>
    <w:basedOn w:val="15"/>
    <w:pPr>
      <w:ind w:firstLine="0"/>
    </w:pPr>
    <w:rPr>
      <w:sz w:val="24"/>
      <w:szCs w:val="24"/>
    </w:rPr>
  </w:style>
  <w:style w:type="paragraph" w:customStyle="1" w:styleId="112">
    <w:name w:val="五号正文（标准）"/>
    <w:basedOn w:val="0"/>
    <w:pPr>
      <w:spacing w:line="360" w:lineRule="auto"/>
      <w:ind w:right="55" w:firstLineChars="200" w:firstLine="200"/>
    </w:pPr>
    <w:rPr>
      <w:rFonts w:eastAsia="仿宋_GB2312"/>
      <w:sz w:val="28"/>
      <w:szCs w:val="20"/>
    </w:rPr>
  </w:style>
  <w:style w:type="paragraph" w:customStyle="1" w:styleId="113">
    <w:name w:val="Char Char Char Char"/>
    <w:basedOn w:val="0"/>
    <w:pPr>
      <w:widowControl/>
      <w:spacing w:after="160" w:line="240" w:lineRule="exact"/>
      <w:jc w:val="left"/>
    </w:pPr>
    <w:rPr>
      <w:rFonts w:ascii="Verdana" w:eastAsia="仿宋_GB2312" w:hAnsi="Verdana"/>
      <w:kern w:val="0"/>
      <w:sz w:val="24"/>
      <w:szCs w:val="20"/>
    </w:rPr>
  </w:style>
  <w:style w:type="paragraph" w:customStyle="1" w:styleId="114">
    <w:name w:val="Char2"/>
    <w:basedOn w:val="0"/>
    <w:pPr>
      <w:widowControl/>
      <w:spacing w:after="160" w:line="240" w:lineRule="exact"/>
      <w:jc w:val="left"/>
    </w:pPr>
    <w:rPr>
      <w:rFonts w:ascii="Verdana" w:hAnsi="Verdana"/>
      <w:kern w:val="0"/>
      <w:szCs w:val="20"/>
    </w:rPr>
  </w:style>
  <w:style w:type="paragraph" w:customStyle="1" w:styleId="115">
    <w:name w:val="默认段落字体 Para Char Char Char Char Char Char Char Char Char1 Char Char Char Char"/>
    <w:basedOn w:val="0"/>
    <w:rPr>
      <w:rFonts w:ascii="Tahoma" w:hAnsi="Tahoma"/>
      <w:sz w:val="24"/>
      <w:szCs w:val="20"/>
    </w:rPr>
  </w:style>
  <w:style w:type="paragraph" w:customStyle="1" w:styleId="116">
    <w:name w:val="默认段落字体 Para Char1"/>
    <w:next w:val="0"/>
    <w:pPr>
      <w:keepNext/>
      <w:keepLines/>
      <w:tabs>
        <w:tab w:val="left" w:pos="360"/>
      </w:tabs>
      <w:snapToGrid w:val="0"/>
      <w:spacing w:before="240" w:after="240"/>
      <w:outlineLvl w:val="7"/>
    </w:pPr>
    <w:rPr>
      <w:rFonts w:ascii="Arial" w:eastAsia="宋体" w:cs="Arial" w:hAnsi="Arial"/>
      <w:kern w:val="2"/>
      <w:sz w:val="20"/>
      <w:szCs w:val="20"/>
      <w:lang w:val="en-US" w:eastAsia="zh-CN" w:bidi="ar-SA"/>
    </w:rPr>
  </w:style>
  <w:style w:type="paragraph" w:customStyle="1" w:styleId="117">
    <w:name w:val="Char Char Char Char3"/>
    <w:basedOn w:val="0"/>
    <w:pPr>
      <w:widowControl/>
      <w:spacing w:after="160" w:line="240" w:lineRule="exact"/>
      <w:jc w:val="left"/>
    </w:pPr>
    <w:rPr>
      <w:rFonts w:ascii="Verdana" w:eastAsia="仿宋_GB2312" w:hAnsi="Verdana"/>
      <w:kern w:val="0"/>
      <w:sz w:val="24"/>
      <w:szCs w:val="20"/>
    </w:rPr>
  </w:style>
  <w:style w:type="paragraph" w:customStyle="1" w:styleId="118">
    <w:name w:val="Char Char Char Char Char Char Char Char Char Char Char Char Char"/>
    <w:basedOn w:val="20"/>
    <w:pPr>
      <w:adjustRightInd/>
      <w:spacing w:line="240" w:lineRule="auto"/>
      <w:textAlignment w:val="auto"/>
    </w:pPr>
    <w:rPr>
      <w:rFonts w:ascii="Tahoma" w:hAnsi="Tahoma"/>
      <w:kern w:val="2"/>
      <w:sz w:val="24"/>
      <w:szCs w:val="24"/>
    </w:rPr>
  </w:style>
  <w:style w:type="paragraph" w:customStyle="1" w:styleId="119">
    <w:name w:val="Char5"/>
    <w:basedOn w:val="0"/>
    <w:pPr>
      <w:tabs>
        <w:tab w:val="left" w:pos="360"/>
      </w:tabs>
      <w:ind w:left="140" w:hangingChars="140" w:hanging="140"/>
    </w:pPr>
    <w:rPr>
      <w:rFonts w:ascii="宋体"/>
      <w:sz w:val="18"/>
      <w:szCs w:val="18"/>
    </w:rPr>
  </w:style>
  <w:style w:type="paragraph" w:customStyle="1" w:styleId="120">
    <w:name w:val="图"/>
    <w:basedOn w:val="0"/>
    <w:pPr>
      <w:keepNext/>
      <w:widowControl w:val="0"/>
      <w:adjustRightInd w:val="0"/>
      <w:snapToGrid w:val="0"/>
      <w:spacing w:before="60" w:after="60" w:line="300" w:lineRule="auto"/>
      <w:jc w:val="center"/>
    </w:pPr>
    <w:rPr>
      <w:spacing w:val="20"/>
      <w:kern w:val="0"/>
      <w:sz w:val="24"/>
      <w:szCs w:val="20"/>
    </w:rPr>
  </w:style>
  <w:style w:type="paragraph" w:customStyle="1" w:styleId="121">
    <w:name w:val="Char Char Char Char Char Char1 Char"/>
    <w:basedOn w:val="0"/>
    <w:pPr>
      <w:widowControl/>
      <w:spacing w:after="160" w:line="240" w:lineRule="exact"/>
      <w:jc w:val="left"/>
    </w:pPr>
    <w:rPr>
      <w:rFonts w:ascii="Arial" w:eastAsia="Times New Roman" w:cs="Verdana" w:hAnsi="Arial"/>
      <w:b/>
      <w:kern w:val="0"/>
      <w:sz w:val="24"/>
      <w:szCs w:val="20"/>
    </w:rPr>
  </w:style>
  <w:style w:type="paragraph" w:customStyle="1" w:styleId="122">
    <w:name w:val="Char Char Char1"/>
    <w:basedOn w:val="20"/>
    <w:pPr>
      <w:adjustRightInd/>
      <w:spacing w:line="240" w:lineRule="auto"/>
      <w:textAlignment w:val="auto"/>
    </w:pPr>
    <w:rPr>
      <w:rFonts w:ascii="Tahoma" w:hAnsi="Tahoma"/>
      <w:kern w:val="2"/>
      <w:sz w:val="24"/>
      <w:szCs w:val="24"/>
    </w:rPr>
  </w:style>
  <w:style w:type="paragraph" w:customStyle="1" w:styleId="123">
    <w:name w:val="F2"/>
    <w:basedOn w:val="0"/>
    <w:pPr>
      <w:autoSpaceDE w:val="0"/>
      <w:autoSpaceDN w:val="0"/>
      <w:adjustRightInd w:val="0"/>
      <w:ind w:firstLine="601"/>
      <w:textAlignment w:val="baseline"/>
    </w:pPr>
    <w:rPr>
      <w:kern w:val="0"/>
      <w:sz w:val="24"/>
      <w:szCs w:val="20"/>
    </w:rPr>
  </w:style>
  <w:style w:type="paragraph" w:customStyle="1" w:styleId="124">
    <w:name w:val="xl21"/>
    <w:basedOn w:val="0"/>
    <w:pPr>
      <w:widowControl/>
      <w:spacing w:before="100" w:beforeAutospacing="1" w:after="100" w:afterAutospacing="1"/>
      <w:jc w:val="center"/>
    </w:pPr>
    <w:rPr>
      <w:rFonts w:ascii="宋体"/>
      <w:b/>
      <w:bCs/>
      <w:kern w:val="0"/>
      <w:sz w:val="28"/>
      <w:szCs w:val="28"/>
    </w:rPr>
  </w:style>
  <w:style w:type="paragraph" w:customStyle="1" w:styleId="125">
    <w:name w:val="List Paragraph1"/>
    <w:basedOn w:val="0"/>
    <w:pPr>
      <w:ind w:firstLineChars="200" w:firstLine="200"/>
    </w:pPr>
    <w:rPr>
      <w:rFonts w:ascii="Calibri" w:hAnsi="Calibri"/>
      <w:szCs w:val="22"/>
    </w:rPr>
  </w:style>
  <w:style w:type="paragraph" w:customStyle="1" w:styleId="126">
    <w:name w:val="普通 (Web)"/>
    <w:basedOn w:val="0"/>
    <w:pPr>
      <w:widowControl/>
      <w:spacing w:before="100" w:beforeAutospacing="1" w:after="100" w:afterAutospacing="1"/>
      <w:jc w:val="left"/>
    </w:pPr>
    <w:rPr>
      <w:rFonts w:ascii="宋体"/>
      <w:kern w:val="0"/>
      <w:sz w:val="24"/>
    </w:rPr>
  </w:style>
  <w:style w:type="paragraph" w:customStyle="1" w:styleId="127">
    <w:name w:val="a9"/>
    <w:basedOn w:val="0"/>
    <w:pPr>
      <w:widowControl/>
      <w:spacing w:before="100" w:beforeAutospacing="1" w:after="100" w:afterAutospacing="1"/>
      <w:jc w:val="left"/>
    </w:pPr>
    <w:rPr>
      <w:rFonts w:ascii="宋体" w:cs="宋体"/>
      <w:kern w:val="0"/>
      <w:sz w:val="24"/>
    </w:rPr>
  </w:style>
  <w:style w:type="paragraph" w:customStyle="1" w:styleId="128">
    <w:name w:val="TOC 标题1"/>
    <w:basedOn w:val="1"/>
    <w:next w:val="0"/>
    <w:pPr>
      <w:keepNext/>
      <w:keepLines/>
      <w:widowControl/>
      <w:spacing w:before="480" w:after="0" w:line="276" w:lineRule="auto"/>
      <w:jc w:val="left"/>
      <w:outlineLvl w:val="9"/>
    </w:pPr>
    <w:rPr>
      <w:rFonts w:ascii="Cambria" w:hAnsi="Cambria"/>
      <w:color w:val="365F91"/>
      <w:kern w:val="0"/>
      <w:sz w:val="28"/>
      <w:szCs w:val="28"/>
    </w:rPr>
  </w:style>
  <w:style w:type="paragraph" w:customStyle="1" w:styleId="129">
    <w:name w:val="默认段落字体 Para Char"/>
    <w:basedOn w:val="0"/>
    <w:pPr>
      <w:adjustRightInd w:val="0"/>
      <w:spacing w:line="360" w:lineRule="auto"/>
    </w:pPr>
    <w:rPr>
      <w:kern w:val="0"/>
      <w:sz w:val="24"/>
      <w:szCs w:val="20"/>
    </w:rPr>
  </w:style>
  <w:style w:type="paragraph" w:customStyle="1" w:styleId="130">
    <w:name w:val="xl23"/>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b/>
      <w:bCs/>
      <w:kern w:val="0"/>
      <w:sz w:val="24"/>
    </w:rPr>
  </w:style>
  <w:style w:type="paragraph" w:customStyle="1" w:styleId="131">
    <w:name w:val="样式"/>
    <w:pPr>
      <w:widowControl w:val="0"/>
      <w:autoSpaceDE w:val="0"/>
      <w:autoSpaceDN w:val="0"/>
      <w:adjustRightInd w:val="0"/>
    </w:pPr>
    <w:rPr>
      <w:rFonts w:ascii="宋体" w:eastAsia="宋体" w:cs="宋体"/>
      <w:sz w:val="24"/>
      <w:szCs w:val="24"/>
      <w:lang w:val="en-US" w:eastAsia="zh-CN" w:bidi="ar-SA"/>
    </w:rPr>
  </w:style>
  <w:style w:type="paragraph" w:customStyle="1" w:styleId="132">
    <w:name w:val="tgt1"/>
    <w:basedOn w:val="0"/>
    <w:pPr>
      <w:widowControl/>
      <w:spacing w:after="150"/>
      <w:jc w:val="left"/>
    </w:pPr>
    <w:rPr>
      <w:rFonts w:ascii="宋体" w:cs="宋体"/>
      <w:kern w:val="0"/>
      <w:sz w:val="24"/>
    </w:rPr>
  </w:style>
  <w:style w:type="paragraph" w:customStyle="1" w:styleId="133">
    <w:name w:val="样式 标题 3 + (中文) 黑体 小四 非加粗 段前: 7.8 磅 段后: 0 磅 行距: 固定值 20 磅"/>
    <w:basedOn w:val="3"/>
    <w:pPr>
      <w:spacing w:before="0" w:after="0" w:line="400" w:lineRule="exact"/>
    </w:pPr>
    <w:rPr>
      <w:rFonts w:eastAsia="黑体" w:cs="宋体"/>
      <w:b w:val="0"/>
      <w:bCs w:val="0"/>
      <w:sz w:val="24"/>
      <w:szCs w:val="20"/>
    </w:rPr>
  </w:style>
  <w:style w:type="paragraph" w:customStyle="1" w:styleId="134">
    <w:name w:val="正文段"/>
    <w:basedOn w:val="0"/>
    <w:pPr>
      <w:widowControl/>
      <w:snapToGrid w:val="0"/>
      <w:spacing w:afterLines="50" w:after="50"/>
      <w:ind w:firstLineChars="200" w:firstLine="200"/>
    </w:pPr>
    <w:rPr>
      <w:kern w:val="0"/>
      <w:sz w:val="24"/>
      <w:szCs w:val="20"/>
    </w:rPr>
  </w:style>
  <w:style w:type="paragraph" w:customStyle="1" w:styleId="135">
    <w:name w:val="1"/>
    <w:basedOn w:val="0"/>
    <w:next w:val="31"/>
    <w:rPr>
      <w:rFonts w:ascii="宋体"/>
      <w:szCs w:val="20"/>
    </w:rPr>
  </w:style>
  <w:style w:type="paragraph" w:customStyle="1" w:styleId="136">
    <w:name w:val="Char Char Char Char Char Char Char Char Char Char Char Char Char2"/>
    <w:basedOn w:val="20"/>
    <w:pPr>
      <w:adjustRightInd/>
      <w:spacing w:line="240" w:lineRule="auto"/>
      <w:textAlignment w:val="auto"/>
    </w:pPr>
    <w:rPr>
      <w:rFonts w:ascii="Tahoma" w:hAnsi="Tahoma"/>
      <w:kern w:val="2"/>
      <w:sz w:val="24"/>
      <w:szCs w:val="24"/>
    </w:rPr>
  </w:style>
  <w:style w:type="paragraph" w:customStyle="1" w:styleId="137">
    <w:name w:val="2ji"/>
    <w:basedOn w:val="2"/>
    <w:pPr>
      <w:adjustRightInd w:val="0"/>
      <w:spacing w:before="0" w:after="0" w:line="360" w:lineRule="auto"/>
      <w:textAlignment w:val="baseline"/>
    </w:pPr>
    <w:rPr>
      <w:rFonts w:ascii="宋体" w:eastAsia="宋体"/>
      <w:kern w:val="0"/>
      <w:sz w:val="21"/>
      <w:szCs w:val="21"/>
    </w:rPr>
  </w:style>
  <w:style w:type="paragraph" w:customStyle="1" w:styleId="138">
    <w:name w:val="2-2ji"/>
    <w:basedOn w:val="2"/>
    <w:pPr>
      <w:adjustRightInd w:val="0"/>
      <w:spacing w:before="0" w:after="0" w:line="360" w:lineRule="auto"/>
      <w:jc w:val="center"/>
      <w:textAlignment w:val="baseline"/>
    </w:pPr>
    <w:rPr>
      <w:rFonts w:ascii="宋体" w:eastAsia="宋体"/>
      <w:bCs w:val="0"/>
      <w:kern w:val="0"/>
      <w:sz w:val="36"/>
    </w:rPr>
  </w:style>
  <w:style w:type="paragraph" w:customStyle="1" w:styleId="139">
    <w:name w:val="444"/>
    <w:basedOn w:val="0"/>
    <w:pPr>
      <w:adjustRightInd w:val="0"/>
      <w:spacing w:line="312" w:lineRule="atLeast"/>
      <w:jc w:val="center"/>
      <w:textAlignment w:val="baseline"/>
    </w:pPr>
    <w:rPr>
      <w:b/>
      <w:kern w:val="0"/>
      <w:sz w:val="36"/>
      <w:szCs w:val="36"/>
    </w:rPr>
  </w:style>
  <w:style w:type="paragraph" w:customStyle="1" w:styleId="140">
    <w:name w:val="Char22"/>
    <w:basedOn w:val="0"/>
    <w:pPr>
      <w:widowControl/>
      <w:spacing w:after="160" w:line="240" w:lineRule="exact"/>
      <w:jc w:val="left"/>
    </w:pPr>
    <w:rPr>
      <w:rFonts w:ascii="Verdana" w:hAnsi="Verdana"/>
      <w:kern w:val="0"/>
      <w:szCs w:val="20"/>
    </w:rPr>
  </w:style>
  <w:style w:type="paragraph" w:customStyle="1" w:styleId="141">
    <w:name w:val="Char Char Char Char Char Char1 Char2"/>
    <w:basedOn w:val="0"/>
    <w:pPr>
      <w:widowControl/>
      <w:spacing w:after="160" w:line="240" w:lineRule="exact"/>
      <w:jc w:val="left"/>
    </w:pPr>
    <w:rPr>
      <w:rFonts w:ascii="Arial" w:eastAsia="Times New Roman" w:cs="Verdana" w:hAnsi="Arial"/>
      <w:b/>
      <w:kern w:val="0"/>
      <w:sz w:val="24"/>
      <w:szCs w:val="20"/>
    </w:rPr>
  </w:style>
  <w:style w:type="paragraph" w:customStyle="1" w:styleId="142">
    <w:name w:val="Char3"/>
    <w:basedOn w:val="0"/>
    <w:pPr>
      <w:widowControl/>
      <w:spacing w:line="500" w:lineRule="exact"/>
      <w:outlineLvl w:val="2"/>
    </w:pPr>
    <w:rPr>
      <w:rFonts w:ascii="黑体" w:eastAsia="黑体" w:cs="黑体"/>
      <w:kern w:val="0"/>
      <w:sz w:val="28"/>
      <w:szCs w:val="28"/>
    </w:rPr>
  </w:style>
  <w:style w:type="paragraph" w:customStyle="1" w:styleId="143">
    <w:name w:val="Default Paragraph Font Para Char"/>
    <w:basedOn w:val="0"/>
    <w:pPr>
      <w:widowControl/>
      <w:spacing w:after="160" w:line="240" w:lineRule="exact"/>
      <w:jc w:val="left"/>
    </w:pPr>
    <w:rPr>
      <w:rFonts w:ascii="Verdana" w:hAnsi="Verdana"/>
      <w:kern w:val="0"/>
      <w:sz w:val="20"/>
      <w:szCs w:val="20"/>
    </w:rPr>
  </w:style>
  <w:style w:type="paragraph" w:customStyle="1" w:styleId="144">
    <w:name w:val="修订1"/>
    <w:rPr>
      <w:rFonts w:ascii="Times New Roman" w:eastAsia="宋体" w:cs="Times New Roman" w:hAnsi="Times New Roman"/>
      <w:kern w:val="2"/>
      <w:sz w:val="21"/>
      <w:szCs w:val="24"/>
      <w:lang w:val="en-US" w:eastAsia="zh-CN" w:bidi="ar-SA"/>
    </w:rPr>
  </w:style>
  <w:style w:type="character" w:customStyle="1" w:styleId="145">
    <w:name w:val="Char Char18"/>
    <w:rPr>
      <w:rFonts w:ascii="Times New Roman" w:eastAsia="宋体" w:cs="Times New Roman" w:hAnsi="Times New Roman"/>
      <w:b/>
      <w:bCs/>
      <w:sz w:val="28"/>
      <w:szCs w:val="28"/>
    </w:rPr>
  </w:style>
  <w:style w:type="paragraph" w:customStyle="1" w:styleId="146">
    <w:name w:val="标题4"/>
    <w:basedOn w:val="2"/>
    <w:next w:val="28"/>
    <w:rPr>
      <w:rFonts w:eastAsia="宋体"/>
      <w:kern w:val="0"/>
      <w:sz w:val="24"/>
    </w:rPr>
  </w:style>
  <w:style w:type="character" w:customStyle="1" w:styleId="147">
    <w:name w:val="批注框文本 Char1"/>
    <w:rPr>
      <w:kern w:val="2"/>
      <w:sz w:val="18"/>
      <w:szCs w:val="18"/>
    </w:rPr>
  </w:style>
  <w:style w:type="character" w:customStyle="1" w:styleId="148">
    <w:name w:val="批注文字 Char Char"/>
    <w:rPr>
      <w:rFonts w:ascii="宋体" w:eastAsia="宋体" w:cs="Times New Roman"/>
      <w:sz w:val="28"/>
      <w:szCs w:val="20"/>
    </w:rPr>
  </w:style>
  <w:style w:type="character" w:customStyle="1" w:styleId="149">
    <w:name w:val="日期 Char1"/>
    <w:rPr>
      <w:kern w:val="2"/>
      <w:sz w:val="21"/>
      <w:szCs w:val="22"/>
    </w:rPr>
  </w:style>
  <w:style w:type="character" w:customStyle="1" w:styleId="150">
    <w:name w:val="正文文本 Char1"/>
    <w:rPr>
      <w:kern w:val="2"/>
      <w:sz w:val="21"/>
      <w:szCs w:val="22"/>
    </w:rPr>
  </w:style>
  <w:style w:type="character" w:customStyle="1" w:styleId="151">
    <w:name w:val="文档结构图 Char1"/>
    <w:rPr>
      <w:rFonts w:ascii="宋体"/>
      <w:kern w:val="2"/>
      <w:sz w:val="18"/>
      <w:szCs w:val="18"/>
    </w:rPr>
  </w:style>
  <w:style w:type="character" w:customStyle="1" w:styleId="152">
    <w:name w:val="明显参考1"/>
    <w:rPr>
      <w:b/>
      <w:bCs/>
      <w:caps w:val="0"/>
      <w:smallCaps/>
      <w:color w:val="C0504D"/>
      <w:spacing w:val="5"/>
      <w:u w:val="single"/>
    </w:rPr>
  </w:style>
  <w:style w:type="paragraph" w:customStyle="1" w:styleId="153">
    <w:name w:val="Intense Quote"/>
    <w:basedOn w:val="0"/>
    <w:next w:val="0"/>
    <w:pPr>
      <w:pBdr>
        <w:bottom w:val="single" w:sz="4" w:space="4" w:color="4F81BD"/>
      </w:pBdr>
      <w:spacing w:before="200" w:after="280"/>
      <w:ind w:left="936" w:right="936"/>
    </w:pPr>
    <w:rPr>
      <w:b/>
      <w:bCs/>
      <w:i/>
      <w:iCs/>
      <w:color w:val="4F81BD"/>
      <w:szCs w:val="22"/>
    </w:rPr>
  </w:style>
  <w:style w:type="character" w:customStyle="1" w:styleId="154">
    <w:name w:val="st1"/>
  </w:style>
  <w:style w:type="character" w:customStyle="1" w:styleId="155">
    <w:name w:val="明显强调1"/>
    <w:rPr>
      <w:b/>
      <w:bCs/>
      <w:i/>
      <w:iCs/>
      <w:color w:val="4F81BD"/>
    </w:rPr>
  </w:style>
  <w:style w:type="character" w:customStyle="1" w:styleId="156">
    <w:name w:val="书籍标题1"/>
    <w:rPr>
      <w:b/>
      <w:bCs/>
      <w:caps w:val="0"/>
      <w:smallCaps/>
      <w:spacing w:val="5"/>
    </w:rPr>
  </w:style>
  <w:style w:type="character" w:customStyle="1" w:styleId="157">
    <w:name w:val="不明显参考1"/>
    <w:rPr>
      <w:caps w:val="0"/>
      <w:smallCaps/>
      <w:color w:val="C0504D"/>
      <w:u w:val="single"/>
    </w:rPr>
  </w:style>
  <w:style w:type="character" w:customStyle="1" w:styleId="158">
    <w:name w:val="textcontents"/>
    <w:rPr>
      <w:rFonts w:cs="Times New Roman"/>
    </w:rPr>
  </w:style>
  <w:style w:type="paragraph" w:customStyle="1" w:styleId="159">
    <w:name w:val="标题5"/>
    <w:basedOn w:val="3"/>
    <w:rPr>
      <w:rFonts w:ascii="Arial" w:hAnsi="Arial"/>
      <w:kern w:val="0"/>
      <w:sz w:val="24"/>
    </w:rPr>
  </w:style>
  <w:style w:type="character" w:customStyle="1" w:styleId="160">
    <w:name w:val="不明显强调1"/>
    <w:rPr>
      <w:i/>
      <w:iCs/>
      <w:color w:val="808080"/>
    </w:rPr>
  </w:style>
  <w:style w:type="character" w:customStyle="1" w:styleId="161">
    <w:name w:val="批注主题 Char1"/>
    <w:rPr>
      <w:b/>
      <w:bCs/>
      <w:kern w:val="2"/>
      <w:sz w:val="21"/>
      <w:szCs w:val="22"/>
    </w:rPr>
  </w:style>
  <w:style w:type="paragraph" w:customStyle="1" w:styleId="162">
    <w:name w:val="Quote"/>
    <w:basedOn w:val="0"/>
    <w:next w:val="0"/>
    <w:rPr>
      <w:i/>
      <w:iCs/>
      <w:color w:val="000000"/>
      <w:szCs w:val="22"/>
    </w:rPr>
  </w:style>
  <w:style w:type="character" w:customStyle="1" w:styleId="163">
    <w:name w:val="副标题 Char1"/>
    <w:rPr>
      <w:rFonts w:ascii="Cambria" w:cs="Times New Roman" w:hAnsi="Cambria"/>
      <w:b/>
      <w:bCs/>
      <w:kern w:val="28"/>
      <w:sz w:val="32"/>
      <w:szCs w:val="32"/>
    </w:rPr>
  </w:style>
  <w:style w:type="character" w:customStyle="1" w:styleId="164">
    <w:name w:val="引用 Char1"/>
    <w:rPr>
      <w:i/>
      <w:iCs/>
      <w:color w:val="000000"/>
      <w:kern w:val="2"/>
      <w:sz w:val="21"/>
      <w:szCs w:val="24"/>
    </w:rPr>
  </w:style>
  <w:style w:type="paragraph" w:customStyle="1" w:styleId="165">
    <w:name w:val="flNote"/>
    <w:basedOn w:val="0"/>
    <w:pPr>
      <w:adjustRightInd w:val="0"/>
      <w:spacing w:before="320" w:after="160" w:line="360" w:lineRule="atLeast"/>
      <w:jc w:val="center"/>
      <w:textAlignment w:val="baseline"/>
    </w:pPr>
    <w:rPr>
      <w:rFonts w:ascii="Arial" w:eastAsia="黑体" w:hAnsi="Arial"/>
      <w:kern w:val="0"/>
      <w:sz w:val="30"/>
      <w:szCs w:val="20"/>
    </w:rPr>
  </w:style>
  <w:style w:type="paragraph" w:customStyle="1" w:styleId="166">
    <w:name w:val="No Spacing"/>
    <w:pPr>
      <w:widowControl w:val="0"/>
      <w:jc w:val="both"/>
    </w:pPr>
    <w:rPr>
      <w:rFonts w:ascii="Calibri" w:eastAsia="宋体" w:cs="Times New Roman" w:hAnsi="Calibri"/>
      <w:kern w:val="2"/>
      <w:sz w:val="21"/>
      <w:szCs w:val="22"/>
      <w:lang w:val="en-US" w:eastAsia="zh-CN" w:bidi="ar-SA"/>
    </w:rPr>
  </w:style>
  <w:style w:type="character" w:customStyle="1" w:styleId="167">
    <w:name w:val="明显引用 Char1"/>
    <w:rPr>
      <w:b/>
      <w:bCs/>
      <w:i/>
      <w:iCs/>
      <w:color w:val="4F81BD"/>
      <w:kern w:val="2"/>
      <w:sz w:val="21"/>
      <w:szCs w:val="24"/>
    </w:rPr>
  </w:style>
  <w:style w:type="paragraph" w:customStyle="1" w:styleId="168">
    <w:name w:val="空半行"/>
    <w:basedOn w:val="0"/>
    <w:pPr>
      <w:adjustRightInd w:val="0"/>
      <w:spacing w:line="120" w:lineRule="exact"/>
      <w:textAlignment w:val="baseline"/>
    </w:pPr>
    <w:rPr>
      <w:rFonts w:eastAsia="仿宋_GB2312"/>
      <w:color w:val="FFFFFF"/>
      <w:kern w:val="0"/>
      <w:sz w:val="30"/>
      <w:szCs w:val="20"/>
    </w:rPr>
  </w:style>
  <w:style w:type="paragraph" w:customStyle="1" w:styleId="169">
    <w:name w:val="4"/>
    <w:basedOn w:val="0"/>
    <w:next w:val="31"/>
    <w:rPr>
      <w:rFonts w:ascii="宋体" w:cs="Courier New"/>
      <w:szCs w:val="21"/>
    </w:rPr>
  </w:style>
  <w:style w:type="paragraph" w:customStyle="1" w:styleId="170">
    <w:name w:val="Char Char Char Char1"/>
    <w:basedOn w:val="0"/>
    <w:pPr>
      <w:ind w:firstLineChars="200" w:firstLine="200"/>
    </w:pPr>
    <w:rPr>
      <w:rFonts w:ascii="宋体" w:cs="宋体"/>
      <w:sz w:val="24"/>
    </w:rPr>
  </w:style>
  <w:style w:type="character" w:customStyle="1" w:styleId="171">
    <w:name w:val="Heading 3 Char1"/>
    <w:rPr>
      <w:rFonts w:eastAsia="宋体"/>
      <w:b/>
      <w:bCs/>
      <w:kern w:val="2"/>
      <w:sz w:val="24"/>
      <w:szCs w:val="32"/>
      <w:lang w:val="en-US" w:eastAsia="zh-CN" w:bidi="ar-SA"/>
    </w:rPr>
  </w:style>
  <w:style w:type="character" w:customStyle="1" w:styleId="172">
    <w:name w:val="Balloon Text Char"/>
    <w:rPr>
      <w:sz w:val="18"/>
      <w:lang w:bidi="ar-SA"/>
    </w:rPr>
  </w:style>
  <w:style w:type="character" w:customStyle="1" w:styleId="173">
    <w:name w:val="Char Char20"/>
    <w:rPr>
      <w:rFonts w:ascii="Times New Roman" w:eastAsia="宋体" w:cs="Times New Roman" w:hAnsi="Times New Roman"/>
      <w:b/>
      <w:bCs/>
      <w:sz w:val="24"/>
      <w:szCs w:val="32"/>
    </w:rPr>
  </w:style>
  <w:style w:type="character" w:customStyle="1" w:styleId="174">
    <w:name w:val="Footer Char"/>
    <w:rPr>
      <w:rFonts w:eastAsia="宋体"/>
      <w:kern w:val="2"/>
      <w:sz w:val="18"/>
      <w:szCs w:val="18"/>
      <w:lang w:val="en-US" w:eastAsia="zh-CN" w:bidi="ar-SA"/>
    </w:rPr>
  </w:style>
  <w:style w:type="character" w:customStyle="1" w:styleId="175">
    <w:name w:val="Body Text Indent 2 Char"/>
    <w:rPr>
      <w:rFonts w:eastAsia="宋体"/>
      <w:kern w:val="2"/>
      <w:sz w:val="21"/>
      <w:szCs w:val="24"/>
      <w:lang w:val="en-US" w:eastAsia="zh-CN" w:bidi="ar-SA"/>
    </w:rPr>
  </w:style>
  <w:style w:type="character" w:customStyle="1" w:styleId="176">
    <w:name w:val="Comment Text Char"/>
    <w:rPr>
      <w:rFonts w:cs="Times New Roman"/>
      <w:sz w:val="24"/>
      <w:szCs w:val="24"/>
    </w:rPr>
  </w:style>
  <w:style w:type="character" w:customStyle="1" w:styleId="177">
    <w:name w:val="Char Char23"/>
    <w:rPr>
      <w:rFonts w:eastAsia="宋体"/>
      <w:b/>
      <w:bCs/>
      <w:kern w:val="44"/>
      <w:sz w:val="32"/>
      <w:szCs w:val="44"/>
      <w:lang w:val="en-US" w:eastAsia="zh-CN" w:bidi="ar-SA"/>
    </w:rPr>
  </w:style>
  <w:style w:type="character" w:customStyle="1" w:styleId="178">
    <w:name w:val="标题 Char2"/>
    <w:rPr>
      <w:rFonts w:ascii="Cambria" w:eastAsia="宋体" w:cs="Times New Roman" w:hAnsi="Cambria"/>
      <w:b/>
      <w:bCs/>
      <w:sz w:val="32"/>
      <w:szCs w:val="32"/>
    </w:rPr>
  </w:style>
  <w:style w:type="character" w:customStyle="1" w:styleId="179">
    <w:name w:val="Char Char22"/>
    <w:rPr>
      <w:rFonts w:ascii="Times New Roman" w:eastAsia="宋体" w:cs="Times New Roman" w:hAnsi="Times New Roman"/>
      <w:b/>
      <w:bCs/>
      <w:kern w:val="44"/>
      <w:sz w:val="32"/>
      <w:szCs w:val="44"/>
    </w:rPr>
  </w:style>
  <w:style w:type="character" w:customStyle="1" w:styleId="180">
    <w:name w:val="Heading 1 Char"/>
    <w:rPr>
      <w:rFonts w:eastAsia="宋体"/>
      <w:b/>
      <w:bCs/>
      <w:kern w:val="44"/>
      <w:sz w:val="32"/>
      <w:szCs w:val="44"/>
      <w:lang w:val="en-US" w:eastAsia="zh-CN" w:bidi="ar-SA"/>
    </w:rPr>
  </w:style>
  <w:style w:type="character" w:customStyle="1" w:styleId="181">
    <w:name w:val="Char Char9"/>
    <w:rPr>
      <w:rFonts w:eastAsia="宋体"/>
      <w:b/>
      <w:bCs/>
      <w:kern w:val="44"/>
      <w:sz w:val="32"/>
      <w:szCs w:val="44"/>
      <w:lang w:val="en-US" w:eastAsia="zh-CN" w:bidi="ar-SA"/>
    </w:rPr>
  </w:style>
  <w:style w:type="character" w:customStyle="1" w:styleId="182">
    <w:name w:val="Char Char21"/>
    <w:rPr>
      <w:rFonts w:ascii="Arial" w:eastAsia="黑体" w:cs="Times New Roman" w:hAnsi="Arial"/>
      <w:b/>
      <w:bCs/>
      <w:sz w:val="32"/>
      <w:szCs w:val="32"/>
    </w:rPr>
  </w:style>
  <w:style w:type="character" w:customStyle="1" w:styleId="183">
    <w:name w:val="Comment Subject Char"/>
    <w:rPr>
      <w:b/>
      <w:sz w:val="24"/>
      <w:lang w:bidi="ar-SA"/>
    </w:rPr>
  </w:style>
  <w:style w:type="character" w:customStyle="1" w:styleId="184">
    <w:name w:val="Title Char"/>
    <w:rPr>
      <w:rFonts w:ascii="Cambria" w:hAnsi="Cambria"/>
      <w:b/>
      <w:sz w:val="32"/>
      <w:lang w:bidi="ar-SA"/>
    </w:rPr>
  </w:style>
  <w:style w:type="character" w:customStyle="1" w:styleId="185">
    <w:name w:val="Heading 5 Char"/>
    <w:rPr>
      <w:rFonts w:eastAsia="宋体"/>
      <w:b/>
      <w:bCs/>
      <w:kern w:val="2"/>
      <w:sz w:val="28"/>
      <w:szCs w:val="28"/>
      <w:lang w:val="en-US" w:eastAsia="zh-CN" w:bidi="ar-SA"/>
    </w:rPr>
  </w:style>
  <w:style w:type="character" w:customStyle="1" w:styleId="186">
    <w:name w:val="Body Text Indent Char"/>
    <w:rPr>
      <w:rFonts w:ascii="宋体" w:eastAsia="宋体"/>
      <w:kern w:val="2"/>
      <w:sz w:val="21"/>
      <w:lang w:val="en-US" w:eastAsia="zh-CN" w:bidi="ar-SA"/>
    </w:rPr>
  </w:style>
  <w:style w:type="character" w:customStyle="1" w:styleId="187">
    <w:name w:val="Footnote Text Char"/>
    <w:rPr>
      <w:rFonts w:eastAsia="宋体"/>
      <w:sz w:val="18"/>
      <w:lang w:val="en-US" w:eastAsia="zh-CN" w:bidi="ar-SA"/>
    </w:rPr>
  </w:style>
  <w:style w:type="character" w:customStyle="1" w:styleId="188">
    <w:name w:val="批注文字 Char1"/>
    <w:rPr>
      <w:rFonts w:ascii="Times New Roman" w:eastAsia="宋体" w:cs="Times New Roman" w:hAnsi="Times New Roman"/>
      <w:szCs w:val="24"/>
    </w:rPr>
  </w:style>
  <w:style w:type="character" w:customStyle="1" w:styleId="189">
    <w:name w:val="标题 Char1"/>
    <w:rPr>
      <w:rFonts w:ascii="Cambria" w:eastAsia="宋体" w:cs="Times New Roman" w:hAnsi="Cambria"/>
      <w:b/>
      <w:bCs/>
      <w:sz w:val="32"/>
      <w:szCs w:val="32"/>
    </w:rPr>
  </w:style>
  <w:style w:type="character" w:customStyle="1" w:styleId="190">
    <w:name w:val="Document Map Char"/>
    <w:rPr>
      <w:rFonts w:eastAsia="宋体"/>
      <w:kern w:val="2"/>
      <w:sz w:val="21"/>
      <w:szCs w:val="24"/>
      <w:lang w:val="en-US" w:eastAsia="zh-CN" w:bidi="ar-SA"/>
    </w:rPr>
  </w:style>
  <w:style w:type="character" w:customStyle="1" w:styleId="191">
    <w:name w:val="Date Char"/>
    <w:rPr>
      <w:rFonts w:eastAsia="宋体"/>
      <w:kern w:val="2"/>
      <w:sz w:val="21"/>
      <w:szCs w:val="24"/>
      <w:lang w:val="en-US" w:eastAsia="zh-CN" w:bidi="ar-SA"/>
    </w:rPr>
  </w:style>
  <w:style w:type="character" w:customStyle="1" w:styleId="192">
    <w:name w:val="Char Char181"/>
    <w:rPr>
      <w:b/>
      <w:bCs/>
      <w:kern w:val="44"/>
      <w:sz w:val="44"/>
      <w:szCs w:val="44"/>
    </w:rPr>
  </w:style>
  <w:style w:type="character" w:customStyle="1" w:styleId="193">
    <w:name w:val="Header Char"/>
    <w:rPr>
      <w:rFonts w:eastAsia="宋体"/>
      <w:kern w:val="2"/>
      <w:sz w:val="18"/>
      <w:szCs w:val="18"/>
      <w:lang w:val="en-US" w:eastAsia="zh-CN" w:bidi="ar-SA"/>
    </w:rPr>
  </w:style>
  <w:style w:type="character" w:customStyle="1" w:styleId="194">
    <w:name w:val="Char Char19"/>
    <w:rPr>
      <w:rFonts w:ascii="Arial" w:eastAsia="宋体" w:cs="Times New Roman" w:hAnsi="Arial"/>
      <w:b/>
      <w:bCs/>
      <w:szCs w:val="28"/>
    </w:rPr>
  </w:style>
  <w:style w:type="character" w:customStyle="1" w:styleId="195">
    <w:name w:val="批注文字 Char2"/>
    <w:rPr>
      <w:kern w:val="2"/>
      <w:sz w:val="21"/>
      <w:szCs w:val="24"/>
      <w:lang w:bidi="ar-SA"/>
    </w:rPr>
  </w:style>
  <w:style w:type="character" w:customStyle="1" w:styleId="196">
    <w:name w:val="Plain Text Char"/>
    <w:rPr>
      <w:rFonts w:ascii="宋体" w:eastAsia="宋体"/>
      <w:sz w:val="24"/>
      <w:lang w:bidi="ar-SA"/>
    </w:rPr>
  </w:style>
  <w:style w:type="character" w:customStyle="1" w:styleId="197">
    <w:name w:val="Heading 2 Char"/>
    <w:rPr>
      <w:rFonts w:ascii="Arial" w:eastAsia="黑体" w:hAnsi="Arial"/>
      <w:b/>
      <w:bCs/>
      <w:kern w:val="2"/>
      <w:sz w:val="32"/>
      <w:szCs w:val="32"/>
      <w:lang w:val="en-US" w:eastAsia="zh-CN" w:bidi="ar-SA"/>
    </w:rPr>
  </w:style>
  <w:style w:type="character" w:customStyle="1" w:styleId="198">
    <w:name w:val="Heading 3 Char"/>
    <w:rPr>
      <w:rFonts w:cs="Times New Roman"/>
      <w:b/>
      <w:bCs/>
      <w:kern w:val="2"/>
      <w:sz w:val="32"/>
      <w:szCs w:val="32"/>
    </w:rPr>
  </w:style>
  <w:style w:type="character" w:customStyle="1" w:styleId="199">
    <w:name w:val="Comment Text Char1"/>
    <w:rPr>
      <w:sz w:val="24"/>
      <w:lang w:bidi="ar-SA"/>
    </w:rPr>
  </w:style>
  <w:style w:type="character" w:customStyle="1" w:styleId="200">
    <w:name w:val="Char Char24"/>
    <w:rPr>
      <w:rFonts w:eastAsia="宋体"/>
      <w:b/>
      <w:bCs/>
      <w:kern w:val="44"/>
      <w:sz w:val="32"/>
      <w:szCs w:val="44"/>
      <w:lang w:val="en-US" w:eastAsia="zh-CN" w:bidi="ar-SA"/>
    </w:rPr>
  </w:style>
  <w:style w:type="character" w:customStyle="1" w:styleId="201">
    <w:name w:val="Char Char91"/>
    <w:rPr>
      <w:rFonts w:eastAsia="宋体"/>
      <w:b/>
      <w:bCs/>
      <w:kern w:val="44"/>
      <w:sz w:val="32"/>
      <w:szCs w:val="44"/>
      <w:lang w:val="en-US" w:eastAsia="zh-CN" w:bidi="ar-SA"/>
    </w:rPr>
  </w:style>
  <w:style w:type="character" w:customStyle="1" w:styleId="202">
    <w:name w:val="Char Char6"/>
    <w:rPr>
      <w:rFonts w:eastAsia="宋体"/>
      <w:b/>
      <w:bCs/>
      <w:kern w:val="44"/>
      <w:sz w:val="32"/>
      <w:szCs w:val="44"/>
      <w:lang w:val="en-US" w:eastAsia="zh-CN" w:bidi="ar-SA"/>
    </w:rPr>
  </w:style>
  <w:style w:type="character" w:customStyle="1" w:styleId="203">
    <w:name w:val="Heading 4 Char"/>
    <w:rPr>
      <w:rFonts w:ascii="Arial" w:eastAsia="宋体" w:hAnsi="Arial"/>
      <w:b/>
      <w:bCs/>
      <w:kern w:val="2"/>
      <w:sz w:val="21"/>
      <w:szCs w:val="28"/>
      <w:lang w:val="en-US" w:eastAsia="zh-CN" w:bidi="ar-SA"/>
    </w:rPr>
  </w:style>
  <w:style w:type="paragraph" w:customStyle="1" w:styleId="204">
    <w:name w:val="无间隔1"/>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列出段落1"/>
    <w:basedOn w:val="0"/>
    <w:pPr>
      <w:ind w:firstLineChars="200" w:firstLine="200"/>
    </w:pPr>
    <w:rPr>
      <w:rFonts w:ascii="Calibri" w:hAnsi="Calibri"/>
      <w:szCs w:val="22"/>
    </w:rPr>
  </w:style>
  <w:style w:type="character" w:customStyle="1" w:styleId="206">
    <w:name w:val="明显引用 Char2"/>
    <w:rPr>
      <w:rFonts w:ascii="Times New Roman" w:eastAsia="宋体" w:cs="Times New Roman" w:hAnsi="Times New Roman"/>
      <w:b/>
      <w:bCs/>
      <w:i/>
      <w:iCs/>
      <w:color w:val="4F81BD"/>
      <w:szCs w:val="24"/>
    </w:rPr>
  </w:style>
  <w:style w:type="character" w:customStyle="1" w:styleId="207">
    <w:name w:val="脚注文本 Char1"/>
    <w:rPr>
      <w:kern w:val="2"/>
      <w:sz w:val="18"/>
      <w:szCs w:val="18"/>
    </w:rPr>
  </w:style>
  <w:style w:type="character" w:customStyle="1" w:styleId="208">
    <w:name w:val="批注框文本 Char2"/>
    <w:rPr>
      <w:rFonts w:ascii="Times New Roman" w:eastAsia="宋体" w:cs="Times New Roman" w:hAnsi="Times New Roman"/>
      <w:sz w:val="18"/>
      <w:szCs w:val="18"/>
    </w:rPr>
  </w:style>
  <w:style w:type="character" w:customStyle="1" w:styleId="209">
    <w:name w:val="标题 Char3"/>
    <w:rPr>
      <w:rFonts w:ascii="Cambria" w:eastAsia="宋体" w:cs="Times New Roman" w:hAnsi="Cambria"/>
      <w:b/>
      <w:bCs/>
      <w:sz w:val="32"/>
      <w:szCs w:val="32"/>
    </w:rPr>
  </w:style>
  <w:style w:type="character" w:customStyle="1" w:styleId="210">
    <w:name w:val="文档结构图 Char2"/>
    <w:rPr>
      <w:rFonts w:ascii="宋体" w:eastAsia="宋体" w:cs="Times New Roman"/>
      <w:sz w:val="18"/>
      <w:szCs w:val="18"/>
    </w:rPr>
  </w:style>
  <w:style w:type="character" w:customStyle="1" w:styleId="211">
    <w:name w:val="页脚 Char1"/>
    <w:rPr>
      <w:rFonts w:ascii="Times New Roman" w:eastAsia="宋体" w:cs="Times New Roman" w:hAnsi="Times New Roman"/>
      <w:sz w:val="18"/>
      <w:szCs w:val="18"/>
    </w:rPr>
  </w:style>
  <w:style w:type="character" w:customStyle="1" w:styleId="212">
    <w:name w:val="正文文本 Char2"/>
    <w:rPr>
      <w:rFonts w:ascii="Times New Roman" w:eastAsia="宋体" w:cs="Times New Roman" w:hAnsi="Times New Roman"/>
      <w:szCs w:val="24"/>
    </w:rPr>
  </w:style>
  <w:style w:type="character" w:customStyle="1" w:styleId="213">
    <w:name w:val="批注文字 Char3"/>
    <w:rPr>
      <w:rFonts w:ascii="Times New Roman" w:eastAsia="宋体" w:cs="Times New Roman" w:hAnsi="Times New Roman"/>
      <w:szCs w:val="24"/>
    </w:rPr>
  </w:style>
  <w:style w:type="character" w:customStyle="1" w:styleId="214">
    <w:name w:val="批注主题 Char2"/>
    <w:rPr>
      <w:rFonts w:ascii="Times New Roman" w:eastAsia="宋体" w:cs="Times New Roman" w:hAnsi="Times New Roman"/>
      <w:b/>
      <w:bCs/>
      <w:szCs w:val="24"/>
    </w:rPr>
  </w:style>
  <w:style w:type="character" w:customStyle="1" w:styleId="215">
    <w:name w:val="日期 Char2"/>
    <w:rPr>
      <w:rFonts w:ascii="Times New Roman" w:eastAsia="宋体" w:cs="Times New Roman" w:hAnsi="Times New Roman"/>
      <w:szCs w:val="24"/>
    </w:rPr>
  </w:style>
  <w:style w:type="paragraph" w:customStyle="1" w:styleId="216">
    <w:name w:val="p0"/>
    <w:basedOn w:val="0"/>
    <w:pPr>
      <w:widowControl/>
    </w:pPr>
    <w:rPr>
      <w:rFonts w:ascii="Calibri" w:cs="宋体" w:hAnsi="Calibri"/>
      <w:kern w:val="0"/>
      <w:szCs w:val="21"/>
    </w:rPr>
  </w:style>
  <w:style w:type="paragraph" w:customStyle="1" w:styleId="217">
    <w:name w:val="_Style 37"/>
    <w:basedOn w:val="0"/>
    <w:next w:val="0"/>
  </w:style>
  <w:style w:type="character" w:customStyle="1" w:styleId="218">
    <w:name w:val="页眉 Char1"/>
    <w:rPr>
      <w:rFonts w:ascii="Times New Roman" w:eastAsia="宋体" w:cs="Times New Roman" w:hAnsi="Times New Roman"/>
      <w:sz w:val="18"/>
      <w:szCs w:val="18"/>
    </w:rPr>
  </w:style>
  <w:style w:type="character" w:customStyle="1" w:styleId="219">
    <w:name w:val="纯文本 Char2"/>
    <w:rPr>
      <w:rFonts w:ascii="宋体" w:eastAsia="宋体" w:cs="Courier New"/>
      <w:szCs w:val="21"/>
    </w:rPr>
  </w:style>
  <w:style w:type="character" w:customStyle="1" w:styleId="220">
    <w:name w:val="正文文本缩进 Char1"/>
    <w:rPr>
      <w:rFonts w:ascii="Times New Roman" w:eastAsia="宋体" w:cs="Times New Roman" w:hAnsi="Times New Roman"/>
      <w:szCs w:val="24"/>
    </w:rPr>
  </w:style>
  <w:style w:type="character" w:customStyle="1" w:styleId="221">
    <w:name w:val="引用 Char2"/>
    <w:rPr>
      <w:rFonts w:ascii="Times New Roman" w:eastAsia="宋体" w:cs="Times New Roman" w:hAnsi="Times New Roman"/>
      <w:i/>
      <w:iCs/>
      <w:color w:val="000000"/>
      <w:szCs w:val="24"/>
    </w:rPr>
  </w:style>
  <w:style w:type="paragraph" w:customStyle="1" w:styleId="222">
    <w:name w:val="reader-word-layer"/>
    <w:basedOn w:val="0"/>
    <w:pPr>
      <w:widowControl/>
      <w:spacing w:before="100" w:beforeAutospacing="1" w:after="100" w:afterAutospacing="1"/>
      <w:jc w:val="left"/>
    </w:pPr>
    <w:rPr>
      <w:rFonts w:ascii="宋体" w:cs="宋体"/>
      <w:kern w:val="0"/>
      <w:sz w:val="24"/>
    </w:rPr>
  </w:style>
  <w:style w:type="character" w:customStyle="1" w:styleId="223">
    <w:name w:val="正文文本缩进 2 Char1"/>
    <w:rPr>
      <w:rFonts w:ascii="Times New Roman" w:eastAsia="宋体" w:cs="Times New Roman" w:hAnsi="Times New Roman"/>
      <w:szCs w:val="24"/>
    </w:rPr>
  </w:style>
  <w:style w:type="paragraph" w:customStyle="1" w:styleId="224">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正文_1"/>
    <w:pPr>
      <w:widowControl w:val="0"/>
      <w:jc w:val="both"/>
    </w:pPr>
    <w:rPr>
      <w:rFonts w:ascii="Times New Roman" w:eastAsia="宋体" w:cs="Times New Roman" w:hAnsi="Times New Roman"/>
      <w:kern w:val="2"/>
      <w:sz w:val="21"/>
      <w:szCs w:val="24"/>
      <w:lang w:val="en-US" w:eastAsia="zh-CN" w:bidi="ar-SA"/>
    </w:rPr>
  </w:style>
  <w:style w:type="character" w:customStyle="1" w:styleId="226">
    <w:name w:val="批注文字 字符"/>
    <w:rPr>
      <w:rFonts w:eastAsia="宋体"/>
      <w:kern w:val="2"/>
      <w:sz w:val="24"/>
      <w:szCs w:val="24"/>
      <w:lang w:val="en-US" w:eastAsia="zh-CN"/>
    </w:rPr>
  </w:style>
  <w:style w:type="character" w:customStyle="1" w:styleId="227">
    <w:name w:val="标题 7 字符"/>
    <w:rPr>
      <w:b/>
      <w:bCs/>
      <w:kern w:val="2"/>
      <w:sz w:val="24"/>
      <w:szCs w:val="24"/>
    </w:rPr>
  </w:style>
  <w:style w:type="character" w:customStyle="1" w:styleId="228">
    <w:name w:val="明显引用 字符"/>
    <w:rPr>
      <w:b/>
      <w:bCs/>
      <w:i/>
      <w:iCs/>
      <w:color w:val="4F81BD"/>
      <w:kern w:val="2"/>
      <w:sz w:val="21"/>
      <w:szCs w:val="22"/>
    </w:rPr>
  </w:style>
  <w:style w:type="character" w:customStyle="1" w:styleId="229">
    <w:name w:val="标题 1 字符"/>
    <w:rPr>
      <w:b/>
      <w:bCs/>
      <w:kern w:val="44"/>
      <w:sz w:val="44"/>
      <w:szCs w:val="44"/>
    </w:rPr>
  </w:style>
  <w:style w:type="character" w:customStyle="1" w:styleId="230">
    <w:name w:val="日期 字符"/>
    <w:rPr>
      <w:rFonts w:ascii="宋体"/>
      <w:sz w:val="28"/>
    </w:rPr>
  </w:style>
  <w:style w:type="character" w:customStyle="1" w:styleId="231">
    <w:name w:val="页眉 字符"/>
    <w:rPr>
      <w:kern w:val="2"/>
      <w:sz w:val="18"/>
      <w:szCs w:val="18"/>
    </w:rPr>
  </w:style>
  <w:style w:type="character" w:customStyle="1" w:styleId="232">
    <w:name w:val="文档结构图 字符"/>
    <w:rPr>
      <w:rFonts w:ascii="Times New Roman" w:hAnsi="Times New Roman"/>
      <w:szCs w:val="24"/>
      <w:shd w:val="clear" w:color="auto" w:fill="000080"/>
    </w:rPr>
  </w:style>
  <w:style w:type="character" w:customStyle="1" w:styleId="233">
    <w:name w:val="引用 字符"/>
    <w:rPr>
      <w:i/>
      <w:iCs/>
      <w:color w:val="000000"/>
      <w:kern w:val="2"/>
      <w:sz w:val="21"/>
      <w:szCs w:val="22"/>
    </w:rPr>
  </w:style>
  <w:style w:type="character" w:customStyle="1" w:styleId="234">
    <w:name w:val="标题 5 字符"/>
    <w:rPr>
      <w:b/>
      <w:bCs/>
      <w:kern w:val="2"/>
      <w:sz w:val="28"/>
      <w:szCs w:val="28"/>
    </w:rPr>
  </w:style>
  <w:style w:type="character" w:customStyle="1" w:styleId="235">
    <w:name w:val="正文文本 字符"/>
    <w:rPr>
      <w:rFonts w:ascii="Times New Roman" w:hAnsi="Times New Roman"/>
    </w:rPr>
  </w:style>
  <w:style w:type="character" w:customStyle="1" w:styleId="236">
    <w:name w:val="批注框文本 字符"/>
    <w:rPr>
      <w:rFonts w:ascii="宋体"/>
      <w:sz w:val="18"/>
      <w:szCs w:val="18"/>
    </w:rPr>
  </w:style>
  <w:style w:type="character" w:customStyle="1" w:styleId="237">
    <w:name w:val="标题 8 字符"/>
    <w:rPr>
      <w:rFonts w:ascii="Cambria" w:eastAsia="宋体" w:cs="Times New Roman" w:hAnsi="Cambria"/>
      <w:kern w:val="2"/>
      <w:sz w:val="24"/>
      <w:szCs w:val="24"/>
    </w:rPr>
  </w:style>
  <w:style w:type="character" w:customStyle="1" w:styleId="238">
    <w:name w:val="批注主题 字符"/>
    <w:rPr>
      <w:rFonts w:ascii="宋体"/>
      <w:b/>
      <w:bCs/>
      <w:sz w:val="28"/>
    </w:rPr>
  </w:style>
  <w:style w:type="character" w:customStyle="1" w:styleId="239">
    <w:name w:val="标题 4 字符"/>
    <w:rPr>
      <w:rFonts w:ascii="Cambria" w:eastAsia="宋体" w:cs="Times New Roman" w:hAnsi="Cambria"/>
      <w:b/>
      <w:bCs/>
      <w:kern w:val="2"/>
      <w:sz w:val="28"/>
      <w:szCs w:val="28"/>
    </w:rPr>
  </w:style>
  <w:style w:type="character" w:customStyle="1" w:styleId="240">
    <w:name w:val="标题 9 字符"/>
    <w:rPr>
      <w:rFonts w:ascii="Cambria" w:eastAsia="宋体" w:cs="Times New Roman" w:hAnsi="Cambria"/>
      <w:kern w:val="2"/>
      <w:sz w:val="21"/>
      <w:szCs w:val="21"/>
    </w:rPr>
  </w:style>
  <w:style w:type="character" w:customStyle="1" w:styleId="241">
    <w:name w:val="标题 2 字符"/>
    <w:rPr>
      <w:rFonts w:ascii="Cambria" w:eastAsia="宋体" w:cs="Times New Roman" w:hAnsi="Cambria"/>
      <w:b/>
      <w:bCs/>
      <w:kern w:val="2"/>
      <w:sz w:val="32"/>
      <w:szCs w:val="32"/>
    </w:rPr>
  </w:style>
  <w:style w:type="character" w:customStyle="1" w:styleId="242">
    <w:name w:val="标题 3 字符"/>
    <w:rPr>
      <w:b/>
      <w:bCs/>
      <w:kern w:val="2"/>
      <w:sz w:val="32"/>
      <w:szCs w:val="32"/>
    </w:rPr>
  </w:style>
  <w:style w:type="character" w:customStyle="1" w:styleId="243">
    <w:name w:val="标题 字符"/>
    <w:rPr>
      <w:rFonts w:ascii="Cambria" w:cs="Times New Roman" w:hAnsi="Cambria"/>
      <w:b/>
      <w:bCs/>
      <w:kern w:val="2"/>
      <w:sz w:val="32"/>
      <w:szCs w:val="32"/>
    </w:rPr>
  </w:style>
  <w:style w:type="character" w:customStyle="1" w:styleId="244">
    <w:name w:val="标题 6 字符"/>
    <w:rPr>
      <w:rFonts w:ascii="Cambria" w:eastAsia="宋体" w:cs="Times New Roman" w:hAnsi="Cambria"/>
      <w:b/>
      <w:bCs/>
      <w:kern w:val="2"/>
      <w:sz w:val="24"/>
      <w:szCs w:val="24"/>
    </w:rPr>
  </w:style>
  <w:style w:type="character" w:customStyle="1" w:styleId="245">
    <w:name w:val="副标题 字符"/>
    <w:rPr>
      <w:rFonts w:ascii="Cambria" w:cs="Times New Roman" w:hAnsi="Cambria"/>
      <w:b/>
      <w:bCs/>
      <w:kern w:val="28"/>
      <w:sz w:val="32"/>
      <w:szCs w:val="32"/>
    </w:rPr>
  </w:style>
  <w:style w:type="character" w:customStyle="1" w:styleId="246">
    <w:name w:val="页脚 字符"/>
    <w:rPr>
      <w:kern w:val="2"/>
      <w:sz w:val="18"/>
      <w:szCs w:val="18"/>
    </w:rPr>
  </w:style>
  <w:style w:type="character" w:customStyle="1" w:styleId="247">
    <w:name w:val="不明显参考111"/>
    <w:rPr>
      <w:caps w:val="0"/>
      <w:smallCaps/>
      <w:color w:val="auto"/>
      <w:u w:val="single"/>
    </w:rPr>
  </w:style>
  <w:style w:type="character" w:customStyle="1" w:styleId="248">
    <w:name w:val="明显参考111"/>
    <w:rPr>
      <w:b/>
      <w:bCs/>
      <w:caps w:val="0"/>
      <w:smallCaps/>
      <w:color w:val="auto"/>
      <w:spacing w:val="5"/>
      <w:u w:val="single"/>
    </w:rPr>
  </w:style>
  <w:style w:type="character" w:customStyle="1" w:styleId="249">
    <w:name w:val="明显强调111"/>
    <w:rPr>
      <w:b/>
      <w:bCs/>
      <w:i/>
      <w:iCs/>
      <w:color w:val="4F81BD"/>
    </w:rPr>
  </w:style>
  <w:style w:type="character" w:customStyle="1" w:styleId="250">
    <w:name w:val="书籍标题111"/>
    <w:rPr>
      <w:b/>
      <w:bCs/>
      <w:caps w:val="0"/>
      <w:smallCaps/>
      <w:spacing w:val="5"/>
    </w:rPr>
  </w:style>
  <w:style w:type="character" w:customStyle="1" w:styleId="251">
    <w:name w:val="不明显强调111"/>
    <w:rPr>
      <w:i/>
      <w:iCs/>
      <w:color w:val="808080"/>
    </w:rPr>
  </w:style>
  <w:style w:type="paragraph" w:customStyle="1" w:styleId="252">
    <w:name w:val="TOC 标题111"/>
    <w:basedOn w:val="1"/>
    <w:next w:val="0"/>
    <w:pPr>
      <w:outlineLvl w:val="9"/>
    </w:pPr>
    <w:rPr>
      <w:rFonts w:ascii="Calibri" w:eastAsia="黑体" w:cs="Calibri" w:hAnsi="Calibri"/>
      <w:lang w:val="zh-CN"/>
    </w:rPr>
  </w:style>
  <w:style w:type="paragraph" w:customStyle="1" w:styleId="253">
    <w:name w:val="列出段落2"/>
    <w:basedOn w:val="0"/>
    <w:pPr>
      <w:ind w:firstLineChars="200" w:firstLine="200"/>
    </w:pPr>
    <w:rPr>
      <w:rFonts w:ascii="Calibri" w:cs="Calibri" w:hAnsi="Calibri"/>
      <w:szCs w:val="21"/>
    </w:rPr>
  </w:style>
  <w:style w:type="paragraph" w:customStyle="1" w:styleId="254">
    <w:name w:val="引用1"/>
    <w:basedOn w:val="0"/>
    <w:next w:val="0"/>
    <w:rPr>
      <w:i/>
      <w:iCs/>
      <w:color w:val="000000"/>
      <w:kern w:val="0"/>
      <w:sz w:val="20"/>
      <w:szCs w:val="20"/>
    </w:rPr>
  </w:style>
  <w:style w:type="paragraph" w:customStyle="1" w:styleId="255">
    <w:name w:val="无间隔11"/>
    <w:pPr>
      <w:widowControl w:val="0"/>
      <w:jc w:val="both"/>
    </w:pPr>
    <w:rPr>
      <w:rFonts w:ascii="Times New Roman" w:eastAsia="宋体" w:cs="Times New Roman" w:hAnsi="Times New Roman"/>
      <w:kern w:val="2"/>
      <w:sz w:val="21"/>
      <w:szCs w:val="21"/>
      <w:lang w:val="en-US" w:eastAsia="zh-CN" w:bidi="ar-SA"/>
    </w:rPr>
  </w:style>
  <w:style w:type="paragraph" w:customStyle="1" w:styleId="256">
    <w:name w:val="修订111"/>
    <w:rPr>
      <w:rFonts w:ascii="Times New Roman" w:eastAsia="宋体" w:cs="Times New Roman" w:hAnsi="Times New Roman"/>
      <w:kern w:val="2"/>
      <w:sz w:val="21"/>
      <w:szCs w:val="21"/>
      <w:lang w:val="en-US" w:eastAsia="zh-CN" w:bidi="ar-SA"/>
    </w:rPr>
  </w:style>
  <w:style w:type="paragraph" w:customStyle="1" w:styleId="257">
    <w:name w:val="明显引用1"/>
    <w:basedOn w:val="0"/>
    <w:next w:val="0"/>
    <w:pPr>
      <w:pBdr>
        <w:bottom w:val="single" w:sz="4" w:space="4" w:color="4F81BD"/>
      </w:pBdr>
      <w:spacing w:before="200" w:after="280"/>
      <w:ind w:left="936" w:right="936"/>
    </w:pPr>
    <w:rPr>
      <w:b/>
      <w:bCs/>
      <w:i/>
      <w:iCs/>
      <w:color w:val="4F81BD"/>
      <w:kern w:val="0"/>
      <w:sz w:val="20"/>
      <w:szCs w:val="20"/>
    </w:rPr>
  </w:style>
  <w:style w:type="character" w:customStyle="1" w:styleId="258">
    <w:name w:val="纯文本 字符"/>
    <w:rPr>
      <w:rFonts w:ascii="宋体" w:cs="宋体"/>
      <w:kern w:val="2"/>
      <w:sz w:val="24"/>
      <w:szCs w:val="24"/>
    </w:rPr>
  </w:style>
  <w:style w:type="character" w:customStyle="1" w:styleId="259">
    <w:name w:val="批注文字 字符1"/>
    <w:rPr>
      <w:kern w:val="2"/>
      <w:sz w:val="21"/>
      <w:szCs w:val="22"/>
    </w:rPr>
  </w:style>
  <w:style w:type="paragraph" w:customStyle="1" w:styleId="260">
    <w:name w:val="正文_0_0_0_0"/>
    <w:pPr>
      <w:widowControl w:val="0"/>
      <w:jc w:val="both"/>
    </w:pPr>
    <w:rPr>
      <w:rFonts w:ascii="Calibri" w:eastAsia="宋体" w:cs="Times New Roman" w:hAnsi="Calibri"/>
      <w:kern w:val="2"/>
      <w:sz w:val="21"/>
      <w:szCs w:val="22"/>
      <w:lang w:val="en-US" w:eastAsia="zh-CN" w:bidi="ar-SA"/>
    </w:rPr>
  </w:style>
  <w:style w:type="character" w:customStyle="1" w:styleId="261">
    <w:name w:val="未处理的提及1"/>
    <w:rPr>
      <w:color w:val="605E5C"/>
      <w:shd w:val="clear" w:color="auto" w:fill="E1DFDD"/>
    </w:rPr>
  </w:style>
  <w:style w:type="character" w:customStyle="1" w:styleId="262">
    <w:name w:val="纯文本 字符1"/>
    <w:rPr>
      <w:rFonts w:ascii="宋体" w:eastAsia="宋体" w:cs="Courier New"/>
      <w:kern w:val="2"/>
      <w:sz w:val="21"/>
      <w:szCs w:val="21"/>
      <w:lang w:val="en-US" w:eastAsia="zh-CN" w:bidi="ar-SA"/>
    </w:rPr>
  </w:style>
  <w:style w:type="character" w:customStyle="1" w:styleId="263">
    <w:name w:val="页眉 字符1"/>
    <w:rPr>
      <w:sz w:val="18"/>
      <w:szCs w:val="18"/>
    </w:rPr>
  </w:style>
  <w:style w:type="character" w:customStyle="1" w:styleId="264">
    <w:name w:val="文档结构图 字符1"/>
    <w:rPr>
      <w:shd w:val="clear" w:color="auto" w:fill="000080"/>
    </w:rPr>
  </w:style>
  <w:style w:type="character" w:customStyle="1" w:styleId="265">
    <w:name w:val="批注文字 字符2"/>
    <w:rPr>
      <w:szCs w:val="24"/>
    </w:rPr>
  </w:style>
  <w:style w:type="character" w:customStyle="1" w:styleId="266">
    <w:name w:val="标题 字符1"/>
    <w:rPr>
      <w:sz w:val="30"/>
      <w:szCs w:val="24"/>
    </w:rPr>
  </w:style>
  <w:style w:type="character" w:customStyle="1" w:styleId="267">
    <w:name w:val="标题 6 字符1"/>
    <w:rPr>
      <w:rFonts w:ascii="Arial" w:eastAsia="黑体" w:cs="Times New Roman" w:hAnsi="Arial"/>
      <w:b/>
      <w:sz w:val="24"/>
      <w:szCs w:val="24"/>
    </w:rPr>
  </w:style>
  <w:style w:type="character" w:customStyle="1" w:styleId="268">
    <w:name w:val="正文文本 字符1"/>
    <w:rPr>
      <w:sz w:val="24"/>
      <w:szCs w:val="24"/>
    </w:rPr>
  </w:style>
  <w:style w:type="character" w:customStyle="1" w:styleId="269">
    <w:name w:val="批注主题 字符1"/>
    <w:rPr>
      <w:b/>
      <w:bCs/>
      <w:szCs w:val="24"/>
    </w:rPr>
  </w:style>
  <w:style w:type="character" w:customStyle="1" w:styleId="270">
    <w:name w:val="标题 1 字符1"/>
    <w:rPr>
      <w:rFonts w:ascii="Times New Roman" w:eastAsia="宋体" w:cs="Times New Roman" w:hAnsi="Times New Roman"/>
      <w:b/>
      <w:bCs/>
      <w:kern w:val="44"/>
      <w:sz w:val="44"/>
      <w:szCs w:val="44"/>
    </w:rPr>
  </w:style>
  <w:style w:type="paragraph" w:customStyle="1" w:styleId="271">
    <w:name w:val="正文_0_0_0"/>
    <w:link w:val="271Char"/>
    <w:pPr>
      <w:widowControl w:val="0"/>
      <w:jc w:val="both"/>
    </w:pPr>
    <w:rPr>
      <w:rFonts w:ascii="Times New Roman" w:eastAsia="宋体" w:cs="Times New Roman" w:hAnsi="Times New Roman"/>
      <w:kern w:val="2"/>
      <w:sz w:val="21"/>
      <w:szCs w:val="22"/>
      <w:lang w:val="en-US" w:eastAsia="zh-CN" w:bidi="ar-SA"/>
    </w:rPr>
  </w:style>
  <w:style w:type="character" w:customStyle="1" w:styleId="271Char">
    <w:name w:val="正文_0_0_0 Char"/>
    <w:basedOn w:val="10"/>
    <w:link w:val="271"/>
    <w:rPr>
      <w:rFonts w:ascii="Times New Roman" w:eastAsia="宋体" w:cs="Times New Roman" w:hAnsi="Times New Roman"/>
      <w:kern w:val="2"/>
      <w:sz w:val="21"/>
      <w:szCs w:val="22"/>
      <w:lang w:val="en-US" w:eastAsia="zh-CN" w:bidi="ar-SA"/>
    </w:rPr>
  </w:style>
  <w:style w:type="paragraph" w:customStyle="1" w:styleId="272">
    <w:name w:val="标题 2_0"/>
    <w:basedOn w:val="271"/>
    <w:next w:val="101"/>
    <w:link w:val="272Char"/>
    <w:pPr>
      <w:keepNext/>
      <w:keepLines/>
      <w:widowControl w:val="0"/>
      <w:spacing w:before="260" w:after="260" w:line="413" w:lineRule="auto"/>
      <w:jc w:val="both"/>
      <w:outlineLvl w:val="1"/>
    </w:pPr>
    <w:rPr>
      <w:rFonts w:ascii="Arial" w:eastAsia="黑体" w:cs="Times New Roman" w:hAnsi="Arial"/>
      <w:b/>
      <w:sz w:val="32"/>
      <w:lang w:val="en-US" w:eastAsia="zh-CN" w:bidi="ar-SA"/>
    </w:rPr>
  </w:style>
  <w:style w:type="character" w:customStyle="1" w:styleId="272Char">
    <w:name w:val="标题 2_0 Char"/>
    <w:basedOn w:val="271Char"/>
    <w:link w:val="272"/>
    <w:rPr>
      <w:rFonts w:ascii="Arial" w:eastAsia="黑体" w:cs="Times New Roman" w:hAnsi="Arial"/>
      <w:b/>
      <w:sz w:val="32"/>
      <w:lang w:val="en-US" w:eastAsia="zh-CN" w:bidi="ar-SA"/>
    </w:rPr>
  </w:style>
  <w:style w:type="character" w:customStyle="1" w:styleId="273">
    <w:name w:val="标题 4 字符1"/>
    <w:rPr>
      <w:rFonts w:ascii="Arial" w:eastAsia="黑体" w:cs="Times New Roman" w:hAnsi="Arial"/>
      <w:kern w:val="0"/>
      <w:sz w:val="28"/>
      <w:szCs w:val="20"/>
    </w:rPr>
  </w:style>
  <w:style w:type="character" w:customStyle="1" w:styleId="274">
    <w:name w:val="页脚 字符1"/>
    <w:rPr>
      <w:sz w:val="18"/>
      <w:szCs w:val="18"/>
    </w:rPr>
  </w:style>
  <w:style w:type="character" w:customStyle="1" w:styleId="275">
    <w:name w:val="日期 字符1"/>
    <w:rPr>
      <w:rFonts w:ascii="宋体" w:cs="Courier New"/>
      <w:szCs w:val="21"/>
    </w:rPr>
  </w:style>
  <w:style w:type="character" w:customStyle="1" w:styleId="276">
    <w:name w:val="正文文本缩进 字符1"/>
    <w:rPr>
      <w:rFonts w:ascii="仿宋_GB2312" w:eastAsia="仿宋_GB2312"/>
      <w:sz w:val="32"/>
    </w:rPr>
  </w:style>
  <w:style w:type="character" w:customStyle="1" w:styleId="277">
    <w:name w:val="标题 8 字符1"/>
    <w:rPr>
      <w:rFonts w:ascii="Arial" w:eastAsia="黑体" w:cs="Times New Roman" w:hAnsi="Arial"/>
      <w:sz w:val="24"/>
      <w:szCs w:val="24"/>
    </w:rPr>
  </w:style>
  <w:style w:type="character" w:customStyle="1" w:styleId="278">
    <w:name w:val="正文文本缩进 2 字符1"/>
    <w:rPr>
      <w:sz w:val="32"/>
    </w:rPr>
  </w:style>
  <w:style w:type="paragraph" w:customStyle="1" w:styleId="279">
    <w:name w:val="z-窗体顶端11"/>
    <w:basedOn w:val="0"/>
    <w:next w:val="0"/>
    <w:pPr>
      <w:pBdr>
        <w:bottom w:val="single" w:sz="6" w:space="1" w:color="auto"/>
      </w:pBdr>
      <w:jc w:val="center"/>
    </w:pPr>
    <w:rPr>
      <w:rFonts w:ascii="Arial" w:hAnsi="Arial"/>
      <w:vanish/>
      <w:kern w:val="0"/>
      <w:sz w:val="16"/>
    </w:rPr>
  </w:style>
  <w:style w:type="character" w:customStyle="1" w:styleId="280">
    <w:name w:val="正文文本 3 字符1"/>
    <w:rPr>
      <w:b/>
      <w:bCs/>
      <w:sz w:val="24"/>
      <w:szCs w:val="24"/>
    </w:rPr>
  </w:style>
  <w:style w:type="character" w:customStyle="1" w:styleId="281">
    <w:name w:val="标题 7 字符1"/>
    <w:rPr>
      <w:rFonts w:ascii="Times New Roman" w:eastAsia="宋体" w:cs="Times New Roman" w:hAnsi="Times New Roman"/>
      <w:b/>
      <w:sz w:val="24"/>
      <w:szCs w:val="24"/>
    </w:rPr>
  </w:style>
  <w:style w:type="character" w:customStyle="1" w:styleId="282">
    <w:name w:val="正文文本首行缩进 2 字符1"/>
    <w:rPr>
      <w:kern w:val="2"/>
      <w:sz w:val="21"/>
      <w:szCs w:val="24"/>
    </w:rPr>
  </w:style>
  <w:style w:type="character" w:customStyle="1" w:styleId="283">
    <w:name w:val="正文文本缩进 3 字符1"/>
    <w:rPr>
      <w:sz w:val="16"/>
      <w:szCs w:val="16"/>
    </w:rPr>
  </w:style>
  <w:style w:type="character" w:customStyle="1" w:styleId="284">
    <w:name w:val="标题 5 字符1"/>
    <w:rPr>
      <w:rFonts w:ascii="Times New Roman" w:eastAsia="宋体" w:cs="Times New Roman" w:hAnsi="Times New Roman"/>
      <w:b/>
      <w:sz w:val="28"/>
      <w:szCs w:val="24"/>
    </w:rPr>
  </w:style>
  <w:style w:type="character" w:customStyle="1" w:styleId="285">
    <w:name w:val="批注框文本 字符1"/>
    <w:rPr>
      <w:sz w:val="18"/>
      <w:szCs w:val="18"/>
    </w:rPr>
  </w:style>
  <w:style w:type="character" w:customStyle="1" w:styleId="286">
    <w:name w:val="标题 3 字符1"/>
    <w:rPr>
      <w:rFonts w:ascii="Times New Roman" w:eastAsia="宋体" w:cs="Times New Roman" w:hAnsi="Times New Roman"/>
      <w:b/>
      <w:bCs/>
      <w:sz w:val="32"/>
      <w:szCs w:val="32"/>
    </w:rPr>
  </w:style>
  <w:style w:type="character" w:customStyle="1" w:styleId="287">
    <w:name w:val="标题 9 字符1"/>
    <w:rPr>
      <w:rFonts w:ascii="Arial" w:eastAsia="黑体" w:cs="Times New Roman" w:hAnsi="Arial"/>
      <w:szCs w:val="24"/>
    </w:rPr>
  </w:style>
  <w:style w:type="character" w:customStyle="1" w:styleId="288">
    <w:name w:val="正文文本首行缩进 字符1"/>
    <w:rPr>
      <w:kern w:val="2"/>
      <w:sz w:val="21"/>
      <w:szCs w:val="24"/>
    </w:rPr>
  </w:style>
  <w:style w:type="character" w:customStyle="1" w:styleId="289">
    <w:name w:val="正文文本 2 字符1"/>
    <w:rPr>
      <w:szCs w:val="24"/>
    </w:rPr>
  </w:style>
  <w:style w:type="character" w:customStyle="1" w:styleId="290">
    <w:name w:val="HTML 预设格式 字符1"/>
    <w:rPr>
      <w:rFonts w:ascii="黑体" w:eastAsia="黑体" w:cs="Courier New"/>
    </w:rPr>
  </w:style>
  <w:style w:type="paragraph" w:customStyle="1" w:styleId="291">
    <w:name w:val="3"/>
    <w:basedOn w:val="0"/>
    <w:next w:val="90"/>
    <w:pPr>
      <w:ind w:firstLineChars="200" w:firstLine="200"/>
    </w:pPr>
    <w:rPr>
      <w:rFonts w:ascii="Calibri" w:hAnsi="Calibri"/>
      <w:szCs w:val="22"/>
    </w:rPr>
  </w:style>
  <w:style w:type="character" w:customStyle="1" w:styleId="292">
    <w:name w:val="正文文本缩进 2 字符"/>
    <w:rPr>
      <w:rFonts w:ascii="Times New Roman" w:eastAsia="宋体" w:cs="Times New Roman" w:hAnsi="Times New Roman"/>
      <w:szCs w:val="24"/>
    </w:rPr>
  </w:style>
  <w:style w:type="character" w:customStyle="1" w:styleId="293">
    <w:name w:val="正文文本缩进 字符"/>
    <w:rPr>
      <w:rFonts w:ascii="Times New Roman" w:eastAsia="宋体" w:cs="Times New Roman" w:hAnsi="Times New Roman"/>
      <w:szCs w:val="24"/>
    </w:rPr>
  </w:style>
  <w:style w:type="character" w:customStyle="1" w:styleId="294">
    <w:name w:val="正文文本 3 字符"/>
    <w:rPr>
      <w:rFonts w:ascii="Times New Roman" w:eastAsia="宋体" w:cs="Times New Roman" w:hAnsi="Times New Roman"/>
      <w:sz w:val="16"/>
      <w:szCs w:val="16"/>
    </w:rPr>
  </w:style>
  <w:style w:type="character" w:customStyle="1" w:styleId="295">
    <w:name w:val="HTML 预设格式 字符"/>
    <w:rPr>
      <w:rFonts w:ascii="Courier New" w:eastAsia="宋体" w:cs="Courier New" w:hAnsi="Courier New"/>
      <w:sz w:val="20"/>
      <w:szCs w:val="20"/>
    </w:rPr>
  </w:style>
  <w:style w:type="character" w:customStyle="1" w:styleId="296">
    <w:name w:val="正文文本 2 字符"/>
    <w:rPr>
      <w:rFonts w:ascii="Times New Roman" w:eastAsia="宋体" w:cs="Times New Roman" w:hAnsi="Times New Roman"/>
      <w:szCs w:val="24"/>
    </w:rPr>
  </w:style>
  <w:style w:type="character" w:customStyle="1" w:styleId="297">
    <w:name w:val="正文文本缩进 3 字符"/>
    <w:rPr>
      <w:rFonts w:ascii="Times New Roman" w:eastAsia="宋体" w:cs="Times New Roman" w:hAnsi="Times New Roman"/>
      <w:sz w:val="16"/>
      <w:szCs w:val="16"/>
    </w:rPr>
  </w:style>
  <w:style w:type="paragraph" w:customStyle="1" w:styleId="298">
    <w:name w:val="Char Char Char Char Char Char Char Char Char Char Char Char Char Char Char Char1"/>
    <w:basedOn w:val="0"/>
    <w:pPr>
      <w:tabs>
        <w:tab w:val="left" w:pos="360"/>
      </w:tabs>
      <w:spacing w:line="360" w:lineRule="auto"/>
      <w:ind w:left="482" w:firstLineChars="200" w:firstLine="200"/>
    </w:pPr>
    <w:rPr>
      <w:rFonts w:ascii="宋体"/>
      <w:sz w:val="24"/>
    </w:rPr>
  </w:style>
  <w:style w:type="paragraph" w:customStyle="1" w:styleId="299">
    <w:name w:val="Char Char Char2"/>
    <w:basedOn w:val="20"/>
    <w:pPr>
      <w:adjustRightInd/>
      <w:spacing w:line="240" w:lineRule="auto"/>
      <w:textAlignment w:val="auto"/>
    </w:pPr>
    <w:rPr>
      <w:rFonts w:ascii="Tahoma" w:eastAsia="等线" w:hAnsi="Tahoma"/>
      <w:kern w:val="2"/>
      <w:sz w:val="24"/>
      <w:szCs w:val="24"/>
    </w:rPr>
  </w:style>
  <w:style w:type="paragraph" w:customStyle="1" w:styleId="300">
    <w:name w:val="Char Char Char Char Char Char Char1"/>
    <w:basedOn w:val="0"/>
  </w:style>
  <w:style w:type="paragraph" w:customStyle="1" w:styleId="301">
    <w:name w:val="Char Char Char Char2"/>
    <w:basedOn w:val="0"/>
    <w:pPr>
      <w:widowControl/>
      <w:spacing w:after="160" w:line="240" w:lineRule="exact"/>
      <w:jc w:val="left"/>
    </w:pPr>
    <w:rPr>
      <w:rFonts w:ascii="Verdana" w:eastAsia="仿宋_GB2312" w:hAnsi="Verdana"/>
      <w:kern w:val="0"/>
      <w:sz w:val="24"/>
      <w:szCs w:val="20"/>
    </w:rPr>
  </w:style>
  <w:style w:type="paragraph" w:customStyle="1" w:styleId="302">
    <w:name w:val="Char4"/>
    <w:basedOn w:val="0"/>
    <w:pPr>
      <w:tabs>
        <w:tab w:val="left" w:pos="360"/>
      </w:tabs>
      <w:ind w:left="140" w:hangingChars="140" w:hanging="140"/>
    </w:pPr>
    <w:rPr>
      <w:rFonts w:ascii="宋体"/>
      <w:sz w:val="18"/>
      <w:szCs w:val="18"/>
    </w:rPr>
  </w:style>
  <w:style w:type="character" w:customStyle="1" w:styleId="303">
    <w:name w:val="z-窗体顶端 字符"/>
    <w:rPr>
      <w:rFonts w:ascii="Arial" w:eastAsia="宋体" w:cs="Arial" w:hAnsi="Arial"/>
      <w:vanish/>
      <w:sz w:val="16"/>
      <w:szCs w:val="16"/>
    </w:rPr>
  </w:style>
  <w:style w:type="paragraph" w:customStyle="1" w:styleId="304">
    <w:name w:val="Char Char Char Char Char Char Char Char Char Char Char Char Char1"/>
    <w:basedOn w:val="20"/>
    <w:pPr>
      <w:adjustRightInd/>
      <w:spacing w:line="240" w:lineRule="auto"/>
      <w:textAlignment w:val="auto"/>
    </w:pPr>
    <w:rPr>
      <w:rFonts w:ascii="Tahoma" w:eastAsia="等线" w:hAnsi="Tahoma"/>
      <w:kern w:val="2"/>
      <w:sz w:val="24"/>
      <w:szCs w:val="24"/>
    </w:rPr>
  </w:style>
  <w:style w:type="paragraph" w:customStyle="1" w:styleId="305">
    <w:name w:val="Char21"/>
    <w:basedOn w:val="0"/>
    <w:pPr>
      <w:widowControl/>
      <w:spacing w:after="160" w:line="240" w:lineRule="exact"/>
      <w:jc w:val="left"/>
    </w:pPr>
    <w:rPr>
      <w:rFonts w:ascii="Verdana" w:hAnsi="Verdana"/>
      <w:kern w:val="0"/>
      <w:szCs w:val="20"/>
    </w:rPr>
  </w:style>
  <w:style w:type="paragraph" w:customStyle="1" w:styleId="306">
    <w:name w:val="Char Char Char Char Char Char1 Char1"/>
    <w:basedOn w:val="0"/>
    <w:pPr>
      <w:widowControl/>
      <w:spacing w:after="160" w:line="240" w:lineRule="exact"/>
      <w:jc w:val="left"/>
    </w:pPr>
    <w:rPr>
      <w:rFonts w:ascii="Arial" w:eastAsia="Times New Roman" w:cs="Verdana" w:hAnsi="Arial"/>
      <w:b/>
      <w:kern w:val="0"/>
      <w:sz w:val="24"/>
      <w:szCs w:val="20"/>
    </w:rPr>
  </w:style>
  <w:style w:type="character" w:customStyle="1" w:styleId="307">
    <w:name w:val="明显引用 字符1"/>
    <w:rPr>
      <w:b/>
      <w:bCs/>
      <w:i/>
      <w:iCs/>
      <w:color w:val="4F81BD"/>
    </w:rPr>
  </w:style>
  <w:style w:type="character" w:customStyle="1" w:styleId="308">
    <w:name w:val="副标题 字符1"/>
    <w:rPr>
      <w:rFonts w:ascii="Cambria" w:hAnsi="Cambria"/>
      <w:b/>
      <w:bCs/>
      <w:kern w:val="28"/>
      <w:sz w:val="32"/>
      <w:szCs w:val="32"/>
    </w:rPr>
  </w:style>
  <w:style w:type="character" w:customStyle="1" w:styleId="309">
    <w:name w:val="引用 字符1"/>
    <w:rPr>
      <w:i/>
      <w:iCs/>
      <w:color w:val="000000"/>
    </w:rPr>
  </w:style>
  <w:style w:type="character" w:customStyle="1" w:styleId="310">
    <w:name w:val="脚注文本 字符1"/>
    <w:rPr>
      <w:sz w:val="18"/>
    </w:rPr>
  </w:style>
  <w:style w:type="character" w:customStyle="1" w:styleId="311">
    <w:name w:val="脚注文本 字符"/>
    <w:rPr>
      <w:rFonts w:ascii="Times New Roman" w:eastAsia="宋体" w:cs="Times New Roman" w:hAnsi="Times New Roman"/>
      <w:sz w:val="18"/>
      <w:szCs w:val="18"/>
    </w:rPr>
  </w:style>
  <w:style w:type="character" w:customStyle="1" w:styleId="312">
    <w:name w:val="正文文本首行缩进 2 字符"/>
  </w:style>
  <w:style w:type="character" w:customStyle="1" w:styleId="313">
    <w:name w:val="正文文本首行缩进 字符"/>
    <w:rPr>
      <w:rFonts w:ascii="Times New Roman" w:eastAsia="宋体" w:cs="Times New Roman" w:hAnsi="Times New Roman"/>
      <w:szCs w:val="24"/>
    </w:rPr>
  </w:style>
  <w:style w:type="paragraph" w:customStyle="1" w:styleId="314">
    <w:name w:val="Body text|1"/>
    <w:basedOn w:val="0"/>
    <w:pPr>
      <w:spacing w:line="360" w:lineRule="auto"/>
      <w:ind w:firstLine="400"/>
    </w:pPr>
    <w:rPr>
      <w:rFonts w:ascii="宋体" w:cs="宋体"/>
      <w:szCs w:val="20"/>
      <w:lang w:val="zh-CN" w:bidi="zh-CN"/>
    </w:rPr>
  </w:style>
  <w:style w:type="character" w:customStyle="1" w:styleId="315">
    <w:name w:val="serious1"/>
  </w:style>
  <w:style w:type="paragraph" w:customStyle="1" w:styleId="316">
    <w:name w:val="Table Paragraph"/>
    <w:basedOn w:val="0"/>
    <w:pPr>
      <w:autoSpaceDE w:val="0"/>
      <w:autoSpaceDN w:val="0"/>
      <w:adjustRightInd w:val="0"/>
      <w:jc w:val="left"/>
    </w:pPr>
    <w:rPr>
      <w:kern w:val="0"/>
      <w:sz w:val="24"/>
    </w:rPr>
  </w:style>
  <w:style w:type="character" w:customStyle="1" w:styleId="317">
    <w:name w:val="未处理的提及11"/>
    <w:rPr>
      <w:color w:val="605E5C"/>
      <w:shd w:val="clear" w:color="auto" w:fill="E1DFDD"/>
    </w:rPr>
  </w:style>
  <w:style w:type="character" w:customStyle="1" w:styleId="318">
    <w:name w:val="未处理的提及2"/>
    <w:rPr>
      <w:color w:val="605E5C"/>
      <w:shd w:val="clear" w:color="auto" w:fill="E1DFDD"/>
    </w:rPr>
  </w:style>
  <w:style w:type="character" w:customStyle="1" w:styleId="319">
    <w:name w:val="批注文字 Char"/>
    <w:rPr>
      <w:kern w:val="2"/>
      <w:sz w:val="21"/>
      <w:szCs w:val="24"/>
    </w:rPr>
  </w:style>
  <w:style w:type="character" w:customStyle="1" w:styleId="320">
    <w:name w:val="文档结构图 Char"/>
    <w:rPr>
      <w:sz w:val="21"/>
      <w:shd w:val="clear" w:color="auto" w:fill="000080"/>
    </w:rPr>
  </w:style>
  <w:style w:type="character" w:customStyle="1" w:styleId="321">
    <w:name w:val="正文文本 Char"/>
    <w:rPr>
      <w:kern w:val="2"/>
      <w:sz w:val="24"/>
      <w:szCs w:val="24"/>
    </w:rPr>
  </w:style>
  <w:style w:type="character" w:customStyle="1" w:styleId="322">
    <w:name w:val="批注主题 Char"/>
    <w:rPr>
      <w:b/>
      <w:bCs/>
      <w:kern w:val="2"/>
      <w:sz w:val="21"/>
      <w:szCs w:val="24"/>
    </w:rPr>
  </w:style>
  <w:style w:type="character" w:customStyle="1" w:styleId="323">
    <w:name w:val="标题 2 Char"/>
    <w:rPr>
      <w:rFonts w:ascii="Arial" w:eastAsia="黑体" w:hAnsi="Arial"/>
      <w:b/>
      <w:bCs/>
      <w:kern w:val="2"/>
      <w:sz w:val="32"/>
      <w:szCs w:val="32"/>
    </w:rPr>
  </w:style>
  <w:style w:type="character" w:customStyle="1" w:styleId="324">
    <w:name w:val="标题 4 Char"/>
    <w:rPr>
      <w:rFonts w:ascii="Arial" w:eastAsia="黑体" w:hAnsi="Arial"/>
      <w:sz w:val="28"/>
    </w:rPr>
  </w:style>
  <w:style w:type="character" w:customStyle="1" w:styleId="325">
    <w:name w:val="纯文本 Char"/>
    <w:rPr>
      <w:rFonts w:ascii="宋体" w:eastAsia="宋体" w:cs="Courier New"/>
      <w:kern w:val="2"/>
      <w:sz w:val="21"/>
      <w:szCs w:val="21"/>
      <w:lang w:val="en-US" w:eastAsia="zh-CN" w:bidi="ar-SA"/>
    </w:rPr>
  </w:style>
  <w:style w:type="character" w:customStyle="1" w:styleId="326">
    <w:name w:val="页脚 Char"/>
    <w:rPr>
      <w:kern w:val="2"/>
      <w:sz w:val="18"/>
      <w:szCs w:val="18"/>
    </w:rPr>
  </w:style>
  <w:style w:type="character" w:customStyle="1" w:styleId="327">
    <w:name w:val="日期 Char"/>
    <w:rPr>
      <w:rFonts w:ascii="宋体" w:cs="Courier New"/>
      <w:kern w:val="2"/>
      <w:sz w:val="21"/>
      <w:szCs w:val="21"/>
    </w:rPr>
  </w:style>
  <w:style w:type="character" w:customStyle="1" w:styleId="328">
    <w:name w:val="正文文本缩进 2 Char"/>
    <w:rPr>
      <w:kern w:val="2"/>
      <w:sz w:val="32"/>
    </w:rPr>
  </w:style>
  <w:style w:type="character" w:customStyle="1" w:styleId="329">
    <w:name w:val="页眉 Char"/>
    <w:rPr>
      <w:kern w:val="2"/>
      <w:sz w:val="18"/>
      <w:szCs w:val="18"/>
    </w:rPr>
  </w:style>
  <w:style w:type="character" w:customStyle="1" w:styleId="330">
    <w:name w:val="标题 5 Char"/>
    <w:rPr>
      <w:b/>
      <w:kern w:val="2"/>
      <w:sz w:val="28"/>
      <w:szCs w:val="24"/>
    </w:rPr>
  </w:style>
  <w:style w:type="character" w:customStyle="1" w:styleId="331">
    <w:name w:val="批注框文本 Char"/>
    <w:rPr>
      <w:kern w:val="2"/>
      <w:sz w:val="18"/>
      <w:szCs w:val="18"/>
    </w:rPr>
  </w:style>
  <w:style w:type="character" w:customStyle="1" w:styleId="332">
    <w:name w:val="HTML 预设格式 Char"/>
    <w:rPr>
      <w:rFonts w:ascii="黑体" w:eastAsia="黑体" w:cs="Courier New"/>
    </w:rPr>
  </w:style>
  <w:style w:type="character" w:customStyle="1" w:styleId="333">
    <w:name w:val="不明显参考11"/>
    <w:rPr>
      <w:caps w:val="0"/>
      <w:smallCaps/>
      <w:color w:val="auto"/>
      <w:u w:val="single"/>
    </w:rPr>
  </w:style>
  <w:style w:type="character" w:customStyle="1" w:styleId="334">
    <w:name w:val="明显参考11"/>
    <w:rPr>
      <w:b/>
      <w:bCs/>
      <w:caps w:val="0"/>
      <w:smallCaps/>
      <w:color w:val="auto"/>
      <w:spacing w:val="5"/>
      <w:u w:val="single"/>
    </w:rPr>
  </w:style>
  <w:style w:type="character" w:customStyle="1" w:styleId="335">
    <w:name w:val="明显强调11"/>
    <w:rPr>
      <w:b/>
      <w:bCs/>
      <w:i/>
      <w:iCs/>
      <w:color w:val="4F81BD"/>
    </w:rPr>
  </w:style>
  <w:style w:type="character" w:customStyle="1" w:styleId="336">
    <w:name w:val="书籍标题11"/>
    <w:rPr>
      <w:b/>
      <w:bCs/>
      <w:caps w:val="0"/>
      <w:smallCaps/>
      <w:spacing w:val="5"/>
    </w:rPr>
  </w:style>
  <w:style w:type="character" w:customStyle="1" w:styleId="337">
    <w:name w:val="不明显强调11"/>
    <w:rPr>
      <w:i/>
      <w:iCs/>
      <w:color w:val="808080"/>
    </w:rPr>
  </w:style>
  <w:style w:type="paragraph" w:customStyle="1" w:styleId="338">
    <w:name w:val="TOC 标题11"/>
    <w:basedOn w:val="1"/>
    <w:next w:val="0"/>
    <w:pPr>
      <w:outlineLvl w:val="9"/>
    </w:pPr>
    <w:rPr>
      <w:rFonts w:ascii="Calibri" w:eastAsia="黑体" w:cs="Calibri" w:hAnsi="Calibri"/>
      <w:lang w:val="zh-CN"/>
    </w:rPr>
  </w:style>
  <w:style w:type="paragraph" w:customStyle="1" w:styleId="339">
    <w:name w:val="修订11"/>
    <w:rPr>
      <w:rFonts w:ascii="Times New Roman" w:eastAsia="宋体" w:cs="Times New Roman" w:hAnsi="Times New Roman"/>
      <w:kern w:val="2"/>
      <w:sz w:val="21"/>
      <w:szCs w:val="21"/>
      <w:lang w:val="en-US" w:eastAsia="zh-CN" w:bidi="ar-SA"/>
    </w:rPr>
  </w:style>
  <w:style w:type="character" w:customStyle="1" w:styleId="340">
    <w:name w:val="标题 6 Char"/>
    <w:rPr>
      <w:rFonts w:ascii="Cambria" w:eastAsia="宋体" w:cs="Times New Roman" w:hAnsi="Cambria"/>
      <w:b/>
      <w:bCs/>
      <w:sz w:val="24"/>
      <w:szCs w:val="24"/>
    </w:rPr>
  </w:style>
  <w:style w:type="character" w:customStyle="1" w:styleId="341">
    <w:name w:val="标题 9 Char"/>
    <w:rPr>
      <w:rFonts w:ascii="Cambria" w:eastAsia="宋体" w:cs="Times New Roman" w:hAnsi="Cambria"/>
      <w:szCs w:val="21"/>
    </w:rPr>
  </w:style>
  <w:style w:type="character" w:customStyle="1" w:styleId="342">
    <w:name w:val="标题 8 Char"/>
    <w:rPr>
      <w:rFonts w:ascii="Cambria" w:eastAsia="宋体" w:cs="Times New Roman" w:hAnsi="Cambria"/>
      <w:sz w:val="24"/>
      <w:szCs w:val="24"/>
    </w:rPr>
  </w:style>
  <w:style w:type="character" w:customStyle="1" w:styleId="343">
    <w:name w:val="标题 Char"/>
    <w:rPr>
      <w:rFonts w:ascii="Cambria" w:cs="Cambria" w:hAnsi="Cambria"/>
      <w:b/>
      <w:bCs/>
      <w:kern w:val="2"/>
      <w:sz w:val="32"/>
      <w:szCs w:val="32"/>
    </w:rPr>
  </w:style>
  <w:style w:type="character" w:customStyle="1" w:styleId="344">
    <w:name w:val="副标题 Char"/>
    <w:rPr>
      <w:rFonts w:ascii="Cambria" w:cs="Times New Roman" w:hAnsi="Cambria"/>
      <w:b/>
      <w:bCs/>
      <w:kern w:val="28"/>
      <w:sz w:val="32"/>
      <w:szCs w:val="32"/>
    </w:rPr>
  </w:style>
  <w:style w:type="character" w:customStyle="1" w:styleId="345">
    <w:name w:val="标题 7 Char"/>
    <w:rPr>
      <w:b/>
      <w:bCs/>
      <w:sz w:val="24"/>
      <w:szCs w:val="24"/>
    </w:rPr>
  </w:style>
  <w:style w:type="character" w:customStyle="1" w:styleId="346">
    <w:name w:val="脚注文本 Char"/>
    <w:rPr>
      <w:sz w:val="18"/>
      <w:szCs w:val="18"/>
    </w:rPr>
  </w:style>
  <w:style w:type="character" w:customStyle="1" w:styleId="347">
    <w:name w:val="正文文本缩进 Char"/>
    <w:rPr>
      <w:rFonts w:ascii="宋体" w:eastAsia="宋体" w:cs="宋体"/>
      <w:kern w:val="2"/>
      <w:sz w:val="21"/>
      <w:szCs w:val="21"/>
    </w:rPr>
  </w:style>
  <w:style w:type="paragraph" w:customStyle="1" w:styleId="348">
    <w:name w:val="_Style 309"/>
    <w:basedOn w:val="0"/>
    <w:next w:val="0"/>
    <w:pPr>
      <w:ind w:leftChars="800" w:left="800"/>
    </w:pPr>
    <w:rPr>
      <w:rFonts w:ascii="Calibri" w:cs="Calibri" w:hAnsi="Calibri"/>
      <w:szCs w:val="21"/>
    </w:rPr>
  </w:style>
  <w:style w:type="paragraph" w:customStyle="1" w:styleId="349">
    <w:name w:val="Normal_0"/>
    <w:rPr>
      <w:rFonts w:ascii="Times New Roman" w:eastAsia="Times New Roman" w:cs="Times New Roman" w:hAnsi="Times New Roman"/>
      <w:sz w:val="24"/>
      <w:szCs w:val="24"/>
      <w:lang w:val="en-US" w:eastAsia="zh-CN" w:bidi="ar-SA"/>
    </w:rPr>
  </w:style>
  <w:style w:type="paragraph" w:customStyle="1" w:styleId="350">
    <w:name w:val="修订2"/>
    <w:rPr>
      <w:rFonts w:ascii="Times New Roman" w:eastAsia="宋体" w:cs="Times New Roman" w:hAnsi="Times New Roman"/>
      <w:kern w:val="2"/>
      <w:sz w:val="21"/>
      <w:szCs w:val="21"/>
      <w:lang w:val="en-US" w:eastAsia="zh-CN" w:bidi="ar-SA"/>
    </w:rPr>
  </w:style>
  <w:style w:type="paragraph" w:customStyle="1" w:styleId="351">
    <w:name w:val="正文_2"/>
    <w:basedOn w:val="101"/>
  </w:style>
  <w:style w:type="paragraph" w:customStyle="1" w:styleId="352">
    <w:name w:val="正文_0"/>
    <w:pPr>
      <w:widowControl w:val="0"/>
      <w:jc w:val="both"/>
    </w:pPr>
    <w:rPr>
      <w:rFonts w:ascii="Calibri" w:eastAsia="宋体" w:cs="Times New Roman" w:hAnsi="Calibri"/>
      <w:kern w:val="2"/>
      <w:sz w:val="21"/>
      <w:szCs w:val="22"/>
      <w:lang w:val="en-US" w:eastAsia="zh-CN" w:bidi="ar-SA"/>
    </w:rPr>
  </w:style>
  <w:style w:type="paragraph" w:customStyle="1" w:styleId="353">
    <w:name w:val="页脚_0"/>
    <w:pPr>
      <w:widowControl w:val="0"/>
      <w:tabs>
        <w:tab w:val="center" w:pos="4153"/>
        <w:tab w:val="right" w:pos="8306"/>
      </w:tabs>
      <w:snapToGrid w:val="0"/>
    </w:pPr>
    <w:rPr>
      <w:rFonts w:ascii="Calibri" w:eastAsia="宋体" w:cs="Times New Roman" w:hAnsi="Calibri"/>
      <w:kern w:val="2"/>
      <w:sz w:val="18"/>
      <w:szCs w:val="18"/>
      <w:lang w:val="en-US" w:eastAsia="zh-CN" w:bidi="ar-SA"/>
    </w:rPr>
  </w:style>
  <w:style w:type="paragraph" w:customStyle="1" w:styleId="354">
    <w:name w:val="标题 3_0"/>
    <w:basedOn w:val="101"/>
    <w:next w:val="101"/>
    <w:pPr>
      <w:keepNext/>
      <w:keepLines/>
      <w:widowControl w:val="0"/>
      <w:spacing w:before="260" w:after="260" w:line="415" w:lineRule="auto"/>
      <w:outlineLvl w:val="2"/>
    </w:pPr>
    <w:rPr>
      <w:rFonts w:ascii="Calibri" w:hAnsi="Calibri"/>
      <w:b/>
      <w:bCs/>
      <w:sz w:val="32"/>
      <w:szCs w:val="32"/>
    </w:rPr>
  </w:style>
  <w:style w:type="paragraph" w:customStyle="1" w:styleId="355">
    <w:name w:val="表格文字"/>
    <w:next w:val="23"/>
    <w:pPr>
      <w:widowControl w:val="0"/>
      <w:adjustRightInd w:val="0"/>
      <w:snapToGrid w:val="0"/>
      <w:jc w:val="center"/>
    </w:pPr>
    <w:rPr>
      <w:rFonts w:ascii="Times New Roman" w:eastAsia="宋体" w:cs="Times New Roman" w:hAnsi="Times New Roman"/>
      <w:sz w:val="24"/>
      <w:szCs w:val="24"/>
      <w:lang w:val="en-US" w:eastAsia="zh-CN" w:bidi="ar-SA"/>
    </w:rPr>
  </w:style>
  <w:style w:type="character" w:customStyle="1" w:styleId="356">
    <w:name w:val="10"/>
    <w:rPr>
      <w:rFonts w:ascii="Times New Roman" w:cs="Times New Roman" w:hAnsi="Times New Roman"/>
    </w:rPr>
  </w:style>
  <w:style w:type="paragraph" w:customStyle="1" w:styleId="357">
    <w:name w:val="正文_2_2"/>
    <w:pPr>
      <w:widowControl w:val="0"/>
      <w:jc w:val="both"/>
    </w:pPr>
    <w:rPr>
      <w:rFonts w:ascii="Calibri" w:eastAsia="宋体" w:cs="Times New Roman" w:hAnsi="Calibri"/>
      <w:kern w:val="2"/>
      <w:sz w:val="21"/>
      <w:szCs w:val="22"/>
      <w:lang w:val="en-US" w:eastAsia="zh-CN" w:bidi="ar-SA"/>
    </w:rPr>
  </w:style>
  <w:style w:type="paragraph" w:customStyle="1" w:styleId="358">
    <w:name w:val="正文_2_1"/>
    <w:basedOn w:val="357"/>
    <w:pPr>
      <w:widowControl w:val="0"/>
      <w:jc w:val="both"/>
    </w:pPr>
    <w:rPr>
      <w:rFonts w:ascii="Calibri" w:hAnsi="Calibri"/>
      <w:kern w:val="2"/>
      <w:sz w:val="21"/>
      <w:szCs w:val="22"/>
      <w:lang w:val="en-US" w:eastAsia="zh-CN" w:bidi="ar-SA"/>
    </w:rPr>
  </w:style>
  <w:style w:type="paragraph" w:customStyle="1" w:styleId="359">
    <w:name w:val="正文_2_0"/>
    <w:basedOn w:val="358"/>
    <w:pPr>
      <w:widowControl w:val="0"/>
      <w:jc w:val="both"/>
    </w:pPr>
    <w:rPr>
      <w:rFonts w:ascii="Calibri" w:eastAsia="宋体" w:cs="Times New Roman" w:hAnsi="Calibri"/>
      <w:kern w:val="2"/>
      <w:sz w:val="21"/>
      <w:szCs w:val="22"/>
      <w:lang w:val="en-US" w:eastAsia="zh-CN" w:bidi="ar-SA"/>
    </w:rPr>
  </w:style>
  <w:style w:type="paragraph" w:customStyle="1" w:styleId="360">
    <w:name w:val="正文_2_0_0"/>
    <w:pPr>
      <w:widowControl w:val="0"/>
      <w:jc w:val="both"/>
    </w:pPr>
    <w:rPr>
      <w:rFonts w:ascii="Calibri" w:eastAsia="宋体" w:cs="Times New Roman" w:hAnsi="Calibri"/>
      <w:kern w:val="2"/>
      <w:sz w:val="21"/>
      <w:szCs w:val="22"/>
      <w:lang w:val="en-US" w:eastAsia="zh-CN" w:bidi="ar-SA"/>
    </w:rPr>
  </w:style>
  <w:style w:type="paragraph" w:customStyle="1" w:styleId="361">
    <w:name w:val="纯文本_0"/>
    <w:pPr>
      <w:widowControl w:val="0"/>
      <w:jc w:val="both"/>
    </w:pPr>
    <w:rPr>
      <w:rFonts w:ascii="宋体" w:eastAsia="宋体" w:cs="Times New Roman"/>
      <w:kern w:val="2"/>
      <w:sz w:val="21"/>
      <w:szCs w:val="24"/>
      <w:lang w:val="en-US" w:eastAsia="zh-CN" w:bidi="ar-SA"/>
    </w:rPr>
  </w:style>
  <w:style w:type="paragraph" w:customStyle="1" w:styleId="362">
    <w:name w:val="纯文本_1"/>
    <w:pPr>
      <w:widowControl w:val="0"/>
      <w:jc w:val="both"/>
    </w:pPr>
    <w:rPr>
      <w:rFonts w:ascii="宋体" w:eastAsia="宋体" w:cs="Times New Roman"/>
      <w:kern w:val="2"/>
      <w:sz w:val="21"/>
      <w:szCs w:val="20"/>
      <w:lang w:val="en-US" w:eastAsia="zh-CN" w:bidi="ar-SA"/>
    </w:rPr>
  </w:style>
  <w:style w:type="paragraph" w:customStyle="1" w:styleId="363">
    <w:name w:val="页脚_1"/>
    <w:pPr>
      <w:widowControl w:val="0"/>
      <w:tabs>
        <w:tab w:val="center" w:pos="4153"/>
        <w:tab w:val="right" w:pos="8306"/>
      </w:tabs>
      <w:snapToGrid w:val="0"/>
    </w:pPr>
    <w:rPr>
      <w:rFonts w:ascii="Calibri" w:eastAsia="宋体" w:cs="Times New Roman" w:hAnsi="Calibri"/>
      <w:sz w:val="18"/>
      <w:szCs w:val="18"/>
      <w:lang w:val="en-US" w:eastAsia="zh-CN" w:bidi="ar-SA"/>
    </w:rPr>
  </w:style>
  <w:style w:type="paragraph" w:customStyle="1" w:styleId="364">
    <w:name w:val="正文_4_0"/>
    <w:pPr>
      <w:widowControl w:val="0"/>
      <w:jc w:val="both"/>
    </w:pPr>
    <w:rPr>
      <w:rFonts w:ascii="Calibri" w:eastAsia="宋体" w:cs="Times New Roman" w:hAnsi="Calibri"/>
      <w:kern w:val="2"/>
      <w:sz w:val="21"/>
      <w:szCs w:val="21"/>
      <w:lang w:val="en-US" w:eastAsia="zh-CN" w:bidi="ar-SA"/>
    </w:rPr>
  </w:style>
  <w:style w:type="paragraph" w:customStyle="1" w:styleId="365">
    <w:name w:val="标题 3_0_0"/>
    <w:next w:val="366"/>
    <w:pPr>
      <w:keepNext/>
      <w:keepLines/>
      <w:widowControl w:val="0"/>
      <w:spacing w:before="260" w:after="260" w:line="410" w:lineRule="auto"/>
      <w:ind w:firstLineChars="49" w:firstLine="49"/>
      <w:jc w:val="both"/>
      <w:outlineLvl w:val="2"/>
    </w:pPr>
    <w:rPr>
      <w:rFonts w:ascii="黑体" w:eastAsia="黑体" w:cs="Times New Roman"/>
      <w:kern w:val="2"/>
      <w:sz w:val="28"/>
      <w:szCs w:val="20"/>
      <w:lang w:val="en-US" w:eastAsia="zh-CN" w:bidi="ar-SA"/>
    </w:rPr>
  </w:style>
  <w:style w:type="paragraph" w:customStyle="1" w:styleId="366">
    <w:name w:val="正文_0_0"/>
    <w:basedOn w:val="352"/>
    <w:pPr>
      <w:widowControl w:val="0"/>
      <w:jc w:val="both"/>
    </w:pPr>
    <w:rPr>
      <w:rFonts w:ascii="Times New Roman" w:eastAsia="宋体" w:cs="Times New Roman" w:hAnsi="Times New Roman"/>
      <w:kern w:val="2"/>
      <w:sz w:val="21"/>
      <w:szCs w:val="22"/>
      <w:lang w:val="en-US" w:eastAsia="zh-CN" w:bidi="ar-SA"/>
    </w:rPr>
  </w:style>
  <w:style w:type="character" w:customStyle="1" w:styleId="367">
    <w:name w:val="批注引用_0"/>
    <w:rPr>
      <w:rFonts w:ascii="Times New Roman" w:eastAsia="宋体" w:cs="Times New Roman" w:hAnsi="Times New Roman"/>
      <w:sz w:val="21"/>
      <w:szCs w:val="21"/>
    </w:rPr>
  </w:style>
  <w:style w:type="character" w:customStyle="1" w:styleId="368">
    <w:name w:val="toolbarlabel"/>
    <w:rPr>
      <w:color w:val="333333"/>
      <w:sz w:val="18"/>
      <w:szCs w:val="18"/>
    </w:rPr>
  </w:style>
  <w:style w:type="character" w:customStyle="1" w:styleId="369">
    <w:name w:val="toolbarlabel2"/>
  </w:style>
  <w:style w:type="paragraph" w:customStyle="1" w:styleId="370">
    <w:name w:val="Normal_1"/>
    <w:rPr>
      <w:rFonts w:ascii="Times New Roman" w:eastAsia="Times New Roman" w:cs="Times New Roman" w:hAnsi="Times New Roman"/>
      <w:sz w:val="24"/>
      <w:szCs w:val="24"/>
      <w:lang w:val="en-US" w:eastAsia="zh-CN" w:bidi="ar-SA"/>
    </w:rPr>
  </w:style>
  <w:style w:type="character" w:customStyle="1" w:styleId="371">
    <w:name w:val="未处理的提及3"/>
    <w:rPr>
      <w:color w:val="605E5C"/>
      <w:shd w:val="clear" w:color="auto" w:fill="E1DFDD"/>
    </w:rPr>
  </w:style>
  <w:style w:type="paragraph" w:customStyle="1" w:styleId="372">
    <w:name w:val="msonormal"/>
    <w:basedOn w:val="0"/>
    <w:pPr>
      <w:widowControl/>
      <w:spacing w:before="100" w:beforeAutospacing="1" w:after="100" w:afterAutospacing="1"/>
      <w:jc w:val="left"/>
    </w:pPr>
    <w:rPr>
      <w:rFonts w:ascii="宋体" w:cs="宋体"/>
      <w:kern w:val="0"/>
      <w:sz w:val="24"/>
    </w:rPr>
  </w:style>
  <w:style w:type="paragraph" w:customStyle="1" w:styleId="373">
    <w:name w:val="_Style 60"/>
    <w:rPr>
      <w:rFonts w:ascii="Times New Roman" w:eastAsia="宋体" w:cs="Times New Roman" w:hAnsi="Times New Roman"/>
      <w:kern w:val="2"/>
      <w:sz w:val="21"/>
      <w:szCs w:val="21"/>
      <w:lang w:val="en-US" w:eastAsia="zh-CN" w:bidi="ar-SA"/>
    </w:rPr>
  </w:style>
  <w:style w:type="paragraph" w:customStyle="1" w:styleId="374">
    <w:name w:val="Blockquote"/>
    <w:basedOn w:val="0"/>
    <w:pPr>
      <w:autoSpaceDE w:val="0"/>
      <w:autoSpaceDN w:val="0"/>
      <w:adjustRightInd w:val="0"/>
      <w:spacing w:before="100" w:after="100"/>
      <w:ind w:left="360" w:right="360"/>
      <w:jc w:val="left"/>
    </w:pPr>
    <w:rPr>
      <w:kern w:val="0"/>
      <w:sz w:val="24"/>
      <w:szCs w:val="20"/>
    </w:rPr>
  </w:style>
  <w:style w:type="paragraph" w:customStyle="1" w:styleId="375">
    <w:name w:val="正文_4"/>
    <w:pPr>
      <w:widowControl w:val="0"/>
      <w:jc w:val="both"/>
    </w:pPr>
    <w:rPr>
      <w:rFonts w:ascii="Calibri" w:eastAsia="宋体" w:cs="Times New Roman" w:hAnsi="Calibri"/>
      <w:kern w:val="2"/>
      <w:sz w:val="21"/>
      <w:szCs w:val="22"/>
      <w:lang w:val="en-US" w:eastAsia="zh-CN" w:bidi="ar-SA"/>
    </w:rPr>
  </w:style>
  <w:style w:type="paragraph" w:customStyle="1" w:styleId="376">
    <w:name w:val="_Style 2"/>
    <w:basedOn w:val="1"/>
    <w:next w:val="0"/>
    <w:pPr>
      <w:spacing w:before="0" w:after="0" w:line="360" w:lineRule="auto"/>
      <w:outlineLvl w:val="9"/>
    </w:pPr>
    <w:rPr>
      <w:rFonts w:eastAsia="黑体"/>
      <w:lang w:val="zh-CN"/>
    </w:rPr>
  </w:style>
  <w:style w:type="paragraph" w:customStyle="1" w:styleId="377">
    <w:name w:val="修订3"/>
    <w:rPr>
      <w:rFonts w:ascii="Times New Roman" w:eastAsia="宋体" w:cs="Times New Roman" w:hAnsi="Times New Roman"/>
      <w:kern w:val="2"/>
      <w:sz w:val="21"/>
      <w:szCs w:val="24"/>
      <w:lang w:val="en-US" w:eastAsia="zh-CN" w:bidi="ar-SA"/>
    </w:rPr>
  </w:style>
  <w:style w:type="character" w:customStyle="1" w:styleId="378">
    <w:name w:val="未处理的提及4"/>
    <w:rPr>
      <w:color w:val="605E5C"/>
      <w:shd w:val="clear" w:color="auto" w:fill="E1DFDD"/>
    </w:rPr>
  </w:style>
  <w:style w:type="paragraph" w:customStyle="1" w:styleId="379">
    <w:name w:val="修订4"/>
    <w:rPr>
      <w:rFonts w:ascii="Times New Roman" w:eastAsia="宋体" w:cs="Times New Roman" w:hAnsi="Times New Roman"/>
      <w:kern w:val="2"/>
      <w:sz w:val="21"/>
      <w:szCs w:val="24"/>
      <w:lang w:val="en-US" w:eastAsia="zh-CN" w:bidi="ar-SA"/>
    </w:rPr>
  </w:style>
  <w:style w:type="paragraph" w:customStyle="1" w:styleId="380">
    <w:name w:val="Revision"/>
    <w:rPr>
      <w:rFonts w:ascii="Times New Roman" w:eastAsia="宋体" w:cs="Times New Roman" w:hAnsi="Times New Roman"/>
      <w:kern w:val="2"/>
      <w:sz w:val="21"/>
      <w:szCs w:val="24"/>
      <w:lang w:val="en-US" w:eastAsia="zh-CN" w:bidi="ar-SA"/>
    </w:rPr>
  </w:style>
  <w:style w:type="paragraph" w:customStyle="1" w:styleId="381">
    <w:name w:val="正文_2_3"/>
    <w:pPr>
      <w:widowControl w:val="0"/>
      <w:jc w:val="both"/>
    </w:pPr>
    <w:rPr>
      <w:rFonts w:ascii="Calibri" w:eastAsia="宋体" w:cs="Times New Roman" w:hAnsi="Calibri"/>
      <w:kern w:val="2"/>
      <w:sz w:val="21"/>
      <w:szCs w:val="22"/>
      <w:lang w:val="en-US" w:eastAsia="zh-CN" w:bidi="ar-SA"/>
    </w:rPr>
  </w:style>
  <w:style w:type="paragraph" w:customStyle="1" w:styleId="382">
    <w:name w:val="正文_3_0_0"/>
    <w:basedOn w:val="381"/>
    <w:rPr>
      <w:rFonts w:ascii="Calibri" w:hAnsi="Calibri"/>
      <w:szCs w:val="21"/>
    </w:rPr>
  </w:style>
  <w:style w:type="paragraph" w:customStyle="1" w:styleId="383">
    <w:name w:val="正文_3_2"/>
    <w:pPr>
      <w:widowControl w:val="0"/>
      <w:jc w:val="both"/>
    </w:pPr>
    <w:rPr>
      <w:rFonts w:ascii="Calibri" w:eastAsia="宋体" w:cs="Times New Roman" w:hAnsi="Calibri"/>
      <w:kern w:val="2"/>
      <w:sz w:val="21"/>
      <w:szCs w:val="22"/>
      <w:lang w:val="en-US" w:eastAsia="zh-CN" w:bidi="ar-SA"/>
    </w:rPr>
  </w:style>
  <w:style w:type="character" w:customStyle="1" w:styleId="384">
    <w:name w:val="16"/>
    <w:rPr>
      <w:rFonts w:ascii="Times New Roman" w:cs="Times New Roman" w:hAnsi="Times New Roman"/>
    </w:rPr>
  </w:style>
  <w:style w:type="paragraph" w:customStyle="1" w:styleId="385">
    <w:name w:val="正文文本_1"/>
    <w:basedOn w:val="101"/>
    <w:pPr>
      <w:spacing w:after="120"/>
    </w:pPr>
    <w:rPr>
      <w:rFonts w:ascii="Times New Roman" w:hAnsi="Times New Roman"/>
      <w:szCs w:val="24"/>
    </w:rPr>
  </w:style>
  <w:style w:type="paragraph" w:customStyle="1" w:styleId="386">
    <w:name w:val="正文_3_0"/>
    <w:basedOn w:val="364"/>
    <w:rPr>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4.xml"/><Relationship Id="rId9" Type="http://schemas.openxmlformats.org/officeDocument/2006/relationships/header" Target="header4.xml"/><Relationship Id="rId10" Type="http://schemas.openxmlformats.org/officeDocument/2006/relationships/header" Target="header5.xml"/><Relationship Id="rId11" Type="http://schemas.openxmlformats.org/officeDocument/2006/relationships/header" Target="header6.xml"/><Relationship Id="rId12" Type="http://schemas.openxmlformats.org/officeDocument/2006/relationships/header" Target="header7.xml"/><Relationship Id="rId13" Type="http://schemas.openxmlformats.org/officeDocument/2006/relationships/header" Target="header8.xml"/><Relationship Id="rId14" Type="http://schemas.openxmlformats.org/officeDocument/2006/relationships/header" Target="header9.xml"/><Relationship Id="rId15" Type="http://schemas.openxmlformats.org/officeDocument/2006/relationships/header" Target="header10.xml"/><Relationship Id="rId16" Type="http://schemas.openxmlformats.org/officeDocument/2006/relationships/styles" Target="styles.xml"/><Relationship Id="rId17" Type="http://schemas.openxmlformats.org/officeDocument/2006/relationships/numbering" Target="numbering.xml"/><Relationship Id="rId18" Type="http://schemas.openxmlformats.org/officeDocument/2006/relationships/fontTable" Target="fontTable.xml"/></Relationships>
</file>

<file path=docProps/app.xml><?xml version="1.0" encoding="utf-8"?>
<Properties xmlns="http://schemas.openxmlformats.org/officeDocument/2006/extended-properties">
  <Template>Normal.eit</Template>
  <TotalTime>20</TotalTime>
  <Application>Yozo_Office</Application>
  <Pages>122</Pages>
  <Words>81612</Words>
  <Characters>85355</Characters>
  <Lines>5184</Lines>
  <Paragraphs>2824</Paragraphs>
  <CharactersWithSpaces>93155</CharactersWithSpaces>
  <Company>china</Company>
</Properties>
</file>

<file path=docProps/core.xml><?xml version="1.0" encoding="utf-8"?>
<cp:coreProperties xmlns:cp="http://schemas.openxmlformats.org/package/2006/metadata/core-properties" xmlns:dc="http://purl.org/dc/elements/1.1/" xmlns:dcterms="http://purl.org/dc/terms/" xmlns:xsi="http://www.w3.org/2001/XMLSchema-instance">
  <dc:title>桂财采〔2009〕 号</dc:title>
  <dc:creator>微软用户</dc:creator>
  <cp:lastModifiedBy>余诗尧</cp:lastModifiedBy>
  <cp:revision>17</cp:revision>
  <cp:lastPrinted>2016-03-23T15:52:00Z</cp:lastPrinted>
  <dcterms:created xsi:type="dcterms:W3CDTF">2025-09-17T18:22:00Z</dcterms:created>
  <dcterms:modified xsi:type="dcterms:W3CDTF">2025-10-10T07:24:24Z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_Author">
    <vt:lpwstr>微软用户</vt:lpwstr>
  </property>
  <property fmtid="{D5CDD505-2E9C-101B-9397-08002B2CF9AE}" pid="4" name="Slides">
    <vt:lpwstr>0</vt:lpwstr>
  </property>
  <property fmtid="{D5CDD505-2E9C-101B-9397-08002B2CF9AE}" pid="5" name="ContentTypeId">
    <vt:lpwstr>0x010100766A5C3ADF4EA94E9357209EBD74570E</vt:lpwstr>
  </property>
  <property fmtid="{D5CDD505-2E9C-101B-9397-08002B2CF9AE}" pid="6" name="ICV">
    <vt:lpwstr>8D81D77E3BB54879B5AF36F4057DBF8F_13</vt:lpwstr>
  </property>
  <property fmtid="{D5CDD505-2E9C-101B-9397-08002B2CF9AE}" pid="7" name="KSOTemplateDocerSaveRecord">
    <vt:lpwstr>eyJoZGlkIjoiZThmNjAzMWJlZjFkMmQwODUwMTJkYzE2ODFiYmFmYTciLCJ1c2VySWQiOiIxMTQzODI0NTMxIn0=</vt:lpwstr>
  </property>
</Properties>
</file>