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比选采购需求书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</w:p>
    <w:tbl>
      <w:tblPr>
        <w:jc w:val="left"/>
        <w:tblInd w:w="0" w:type="dxa"/>
        <w:tblW w:w="8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5"/>
        <w:gridCol w:w="6857"/>
      </w:tblGrid>
      <w:tr>
        <w:tc>
          <w:tcPr>
            <w:tcW w:w="868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182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85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机关垃圾清运和管道清污服务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项目</w:t>
            </w:r>
          </w:p>
        </w:tc>
      </w:tr>
      <w:tr>
        <w:tc>
          <w:tcPr>
            <w:tcW w:w="182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85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6.2万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182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857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方正仿宋_GBK" w:eastAsia="方正仿宋_GBK" w:cs="方正仿宋_GBK"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  <w:vertAlign w:val="baseline"/>
                <w:lang w:val="en-US" w:eastAsia="zh-CN"/>
              </w:rPr>
              <w:t>最低价法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  <w:vertAlign w:val="baseline"/>
                <w:lang w:val="en-US" w:eastAsia="zh-CN"/>
              </w:rPr>
              <w:t>√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综合评分法（权重：价格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20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%、评</w:t>
            </w:r>
            <w:bookmarkStart w:id="0" w:name="_GoBack"/>
            <w:bookmarkEnd w:id="0"/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审因素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80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%）</w:t>
            </w:r>
          </w:p>
        </w:tc>
      </w:tr>
      <w:tr>
        <w:tc>
          <w:tcPr>
            <w:tcW w:w="868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2000"/>
        </w:trPr>
        <w:tc>
          <w:tcPr>
            <w:tcW w:w="182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857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1.不满足资格条件的响应文件将按无效响应文件处理。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详细需求栏中所有加“★”项的需求均为实质性要求，不满足实质性要求的响应文件将按无效响应文件处理。</w:t>
            </w:r>
          </w:p>
        </w:tc>
      </w:tr>
      <w:tr>
        <w:trPr>
          <w:trHeight w:val="3424"/>
        </w:trPr>
        <w:tc>
          <w:tcPr>
            <w:tcW w:w="182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</w:t>
            </w:r>
          </w:p>
        </w:tc>
        <w:tc>
          <w:tcPr>
            <w:tcW w:w="6857" w:type="dxa"/>
            <w:vAlign w:val="center"/>
          </w:tcPr>
          <w:p>
            <w:pPr>
              <w:pStyle w:val="88"/>
              <w:spacing w:line="400" w:lineRule="exact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1.具有独立法人资格，能够承担本项目实施；</w:t>
            </w:r>
          </w:p>
          <w:p>
            <w:pPr>
              <w:pStyle w:val="88"/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2.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提供其他书面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资质证明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材料，包括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：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工商营业执照或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三合一证照复印件、法人授权书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、具备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独立承担本项目实施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能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力承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诺书。</w:t>
            </w:r>
          </w:p>
          <w:p>
            <w:pPr>
              <w:pStyle w:val="38"/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rPr>
          <w:trHeight w:val="3676"/>
        </w:trPr>
        <w:tc>
          <w:tcPr>
            <w:tcW w:w="182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</w:tc>
        <w:tc>
          <w:tcPr>
            <w:tcW w:w="6857" w:type="dxa"/>
          </w:tcPr>
          <w:p>
            <w:pPr>
              <w:pStyle w:val="208"/>
              <w:spacing w:line="400" w:lineRule="exact"/>
              <w:ind w:firstLine="0"/>
              <w:rPr>
                <w:rFonts w:ascii="Times New Roman" w:eastAsia="方正仿宋_GBK" w:cs="方正仿宋_GBK" w:hAnsi="Times New Roman"/>
                <w:bCs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1.按照</w:t>
            </w:r>
            <w:r>
              <w:rPr>
                <w:rFonts w:ascii="Times New Roman" w:eastAsia="方正仿宋_GBK" w:cs="方正仿宋_GBK" w:hAnsi="Times New Roman"/>
                <w:bCs/>
                <w:sz w:val="28"/>
                <w:szCs w:val="28"/>
              </w:rPr>
              <w:t>《垃圾清运和管道清污服务内容明细》，开展垃圾清运及管道清污服务，服务期限为2026年1月1日至2026年12月31日；</w:t>
            </w:r>
          </w:p>
          <w:p>
            <w:pPr>
              <w:pStyle w:val="208"/>
              <w:spacing w:line="400" w:lineRule="exact"/>
              <w:ind w:firstLine="0"/>
              <w:rPr>
                <w:rFonts w:ascii="Times New Roman" w:eastAsia="方正仿宋_GBK" w:cs="方正仿宋_GBK" w:hAnsi="Times New Roman"/>
                <w:bCs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/>
                <w:bCs/>
                <w:sz w:val="28"/>
                <w:szCs w:val="28"/>
              </w:rPr>
              <w:t>2.呼和浩特市赛罕区环卫服务中心垃圾处理费由乙方承担；</w:t>
            </w:r>
          </w:p>
          <w:p>
            <w:pPr>
              <w:pStyle w:val="22"/>
              <w:snapToGrid w:val="0"/>
              <w:spacing w:line="400" w:lineRule="exact"/>
              <w:ind w:left="0"/>
              <w:rPr>
                <w:rFonts w:eastAsia="方正仿宋_GBK" w:cs="Arial"/>
                <w:snapToGrid w:val="0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3.支付方式：</w:t>
            </w:r>
            <w:r>
              <w:rPr>
                <w:rFonts w:eastAsia="方正仿宋_GBK" w:cs="Arial"/>
                <w:sz w:val="28"/>
                <w:szCs w:val="28"/>
              </w:rPr>
              <w:t>乙方完成每次垃圾清运及管道清掏清洗工作并经甲方验收合格后，相关费用分期支付，每半年支付应付总额的50％。支付时间分别为2026年6月30日和12月20日前7个工作日内。乙方应在甲方付款前，按甲方要求提供合法有效的增值税专用发票或增值税普通发票；乙方未按要求提交发票的，甲方有权延迟付款，且不承担违约责任；</w:t>
            </w:r>
          </w:p>
          <w:p>
            <w:pPr>
              <w:pStyle w:val="208"/>
              <w:snapToGrid w:val="0"/>
              <w:spacing w:line="400" w:lineRule="exact"/>
              <w:ind w:firstLine="0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4.质量要求：符合国家及行业相关规范和标准，满足甲方需求</w:t>
            </w:r>
          </w:p>
          <w:p>
            <w:pPr>
              <w:pStyle w:val="208"/>
              <w:spacing w:line="400" w:lineRule="exact"/>
              <w:ind w:firstLine="0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5.安全要求：服务过程确保安全文明，执行国家现行相关规定；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</w:p>
        </w:tc>
      </w:tr>
      <w:tr>
        <w:trPr>
          <w:trHeight w:val="2067"/>
        </w:trPr>
        <w:tc>
          <w:tcPr>
            <w:tcW w:w="182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</w:tc>
        <w:tc>
          <w:tcPr>
            <w:tcW w:w="6857" w:type="dxa"/>
          </w:tcPr>
          <w:p>
            <w:pPr>
              <w:pStyle w:val="81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1、价格因素20分，计算方法：基准价/报价X 20（基准价为符合资格条件的最低报价，得分四舍五入保留2位小数），随附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《</w:t>
            </w:r>
            <w:r>
              <w:rPr>
                <w:rStyle w:val="210Char"/>
                <w:rFonts w:ascii="方正仿宋_GBK" w:eastAsia="方正仿宋_GBK" w:cs="方正仿宋_GBK" w:hint="eastAsia"/>
                <w:bCs/>
                <w:sz w:val="28"/>
                <w:szCs w:val="28"/>
              </w:rPr>
              <w:fldChar w:fldCharType="begin"/>
            </w:r>
            <w:r>
              <w:instrText>HYPERLINK "http://10.67.1.184/HBPlusWebApp/HidealGW/QBPages/QBFrontController.aspx?resourceID=02002b4e-f54e-40fe-bcf6-3919d54e7df9&amp;_ResponsedPageLoadingHint=true#"</w:instrText>
            </w:r>
            <w:r>
              <w:rPr>
                <w:rStyle w:val="210Char"/>
                <w:rFonts w:ascii="方正仿宋_GBK" w:eastAsia="方正仿宋_GBK" w:cs="方正仿宋_GBK" w:hint="eastAsia"/>
                <w:bCs/>
                <w:sz w:val="28"/>
                <w:szCs w:val="28"/>
              </w:rPr>
              <w:fldChar w:fldCharType="separate"/>
            </w:r>
            <w:r>
              <w:rPr>
                <w:rStyle w:val="210Char"/>
                <w:rFonts w:ascii="方正仿宋_GBK" w:eastAsia="方正仿宋_GBK" w:cs="方正仿宋_GBK" w:hint="eastAsia"/>
                <w:bCs/>
                <w:sz w:val="28"/>
                <w:szCs w:val="28"/>
              </w:rPr>
              <w:t>垃圾清运和管道清污服务内容明细</w:t>
            </w:r>
            <w:r>
              <w:rPr>
                <w:rStyle w:val="210Char"/>
                <w:rFonts w:ascii="方正仿宋_GBK" w:eastAsia="方正仿宋_GBK" w:cs="方正仿宋_GBK" w:hint="eastAsia"/>
                <w:bCs/>
                <w:sz w:val="28"/>
                <w:szCs w:val="28"/>
              </w:rPr>
              <w:fldChar w:fldCharType="end"/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》，并填写报价及盖章。</w:t>
            </w:r>
          </w:p>
          <w:p>
            <w:pPr>
              <w:pStyle w:val="81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2、商务部分15分：</w:t>
            </w:r>
          </w:p>
          <w:p>
            <w:pPr>
              <w:pStyle w:val="81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企业业绩（15分）。近三年内（2022年12月至今、以合同签署日期为准）类似垃圾清运和管道清污服务业绩，每项业绩得3分，最高15分（要求提供合同复印件加盖公章，复印件须包含合同关键内容、签章、日期。</w:t>
            </w:r>
          </w:p>
          <w:p>
            <w:pPr>
              <w:pStyle w:val="211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 xml:space="preserve"> 3.技术部分65分：</w:t>
            </w:r>
          </w:p>
          <w:p>
            <w:pPr>
              <w:pStyle w:val="81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（1）服务方案（30分）</w:t>
            </w:r>
          </w:p>
          <w:p>
            <w:pPr>
              <w:pStyle w:val="212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包括：清运及清污服务计划、清运及清污效果、清运及清污服务范围及频次，好得20-30分（不含20分），较好的10-20分（不含10分），一般得1-10分，未提供不得分；</w:t>
            </w:r>
          </w:p>
          <w:p>
            <w:pPr>
              <w:pStyle w:val="81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（2）服务响应情况（5分）</w:t>
            </w:r>
          </w:p>
          <w:p>
            <w:pPr>
              <w:pStyle w:val="81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包括：紧急情况的响应时间和日常服务的响应时间安排，1-8小时内响应得3-5分（不含3分），8-12小时响应得1-3分，未提供不得分；</w:t>
            </w:r>
          </w:p>
          <w:p>
            <w:pPr>
              <w:pStyle w:val="81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（3）管理制度（15分）</w:t>
            </w:r>
          </w:p>
          <w:p>
            <w:pPr>
              <w:pStyle w:val="81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包括：人员管理制度、员工培训，好得10-15分（不含10分），较好的5-10分（不含5分），一般得1-5分，未提供不得分；</w:t>
            </w:r>
          </w:p>
          <w:p>
            <w:pPr>
              <w:pStyle w:val="81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（4）工具、设备（15分）</w:t>
            </w:r>
          </w:p>
          <w:p>
            <w:pPr>
              <w:pStyle w:val="65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投入本项目设备、工具配置全面、合理、专业进行综合评价，好得10-15分（不含10分），较好的5-10分（不含5分），一般得1-5分，未提供不得分。</w:t>
            </w:r>
          </w:p>
        </w:tc>
      </w:tr>
    </w:tbl>
    <w:p>
      <w:pPr>
        <w:jc w:val="left"/>
      </w:pPr>
    </w:p>
    <w:p>
      <w:pPr>
        <w:jc w:val="left"/>
      </w:pPr>
    </w:p>
    <w:sectPr>
      <w:footerReference w:type="default" r:id="rId2"/>
      <w:pgSz w:w="11907" w:h="16840"/>
      <w:pgMar w:top="2098" w:right="1474" w:bottom="1985" w:left="1588" w:header="1814" w:footer="1474" w:gutter="0"/>
      <w:pgNumType w:start="0"/>
      <w:titlePg/>
      <w:docGrid w:type="linesAndChars" w:linePitch="580" w:charSpace="2168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variable"/>
    <w:sig w:usb0="00000000" w:usb1="0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Courier New">
    <w:panose1 w:val="02070409020205090404"/>
    <w:charset w:val="00"/>
    <w:family w:val="auto"/>
    <w:pitch w:val="variable"/>
    <w:sig w:usb0="00007A87" w:usb1="80000000" w:usb2="00000008" w:usb3="00000000" w:csb0="400001FF" w:csb1="FFFF0000"/>
  </w:font>
  <w:font w:name="Cambria">
    <w:panose1 w:val="02040503050406030204"/>
    <w:charset w:val="00"/>
    <w:family w:val="auto"/>
    <w:pitch w:val="variable"/>
    <w:sig w:usb0="E00002FF" w:usb1="400004FF" w:usb2="00000000" w:usb3="00000000" w:csb0="2000019F" w:csb1="00000000"/>
  </w:font>
  <w:font w:name="ＭＳ 明朝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00000000" w:usb2="00000000" w:usb3="00000000" w:csb0="8000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7"/>
      <w:tabs>
        <w:tab w:val="center" w:pos="4153"/>
        <w:tab w:val="right" w:pos="8307"/>
      </w:tabs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>Page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3</w:t>
    </w:r>
    <w:r>
      <w:rPr>
        <w:sz w:val="32"/>
        <w:szCs w:val="32"/>
      </w:rPr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5AA8369A"/>
    <w:multiLevelType w:val="singleLevel"/>
    <w:tmpl w:val="00000000"/>
    <w:lvl w:ilvl="0">
      <w:start w:val="1"/>
      <w:numFmt w:val="decimal"/>
      <w:lvlRestart w:val="0"/>
      <w:lvlText w:val="%1."/>
      <w:lvlJc w:val="left"/>
      <w:pPr>
        <w:tabs>
          <w:tab w:val="num" w:pos="1620"/>
        </w:tabs>
        <w:ind w:left="1620" w:hanging="360"/>
      </w:pPr>
    </w:lvl>
  </w:abstractNum>
  <w:abstractNum w:abstractNumId="1">
    <w:nsid w:val="C3D39E8B"/>
    <w:multiLevelType w:val="singleLevel"/>
    <w:tmpl w:val="00000000"/>
    <w:lvl w:ilvl="0">
      <w:start w:val="1"/>
      <w:numFmt w:val="bullet"/>
      <w:lvlRestart w:val="0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2">
    <w:nsid w:val="AC0B4617"/>
    <w:multiLevelType w:val="singleLevel"/>
    <w:tmpl w:val="00000000"/>
    <w:lvl w:ilvl="0">
      <w:start w:val="1"/>
      <w:numFmt w:val="bullet"/>
      <w:lvlRestart w:val="0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3">
    <w:nsid w:val="2DB41618"/>
    <w:multiLevelType w:val="singleLevel"/>
    <w:tmpl w:val="00000000"/>
    <w:lvl w:ilvl="0">
      <w:start w:val="1"/>
      <w:numFmt w:val="bullet"/>
      <w:lvlRestart w:val="0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80"/>
  <w:doNotDisplayPageBoundaries/>
  <w:displayBackgroundShape/>
  <w:bordersDoNotSurroundHeader/>
  <w:bordersDoNotSurroundFooter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pageBreakBefore w:val="0"/>
      <w:widowControl w:val="0"/>
      <w:suppressLineNumbers w:val="0"/>
      <w:suppressAutoHyphens w:val="0"/>
      <w:spacing w:before="0" w:after="0"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pageBreakBefore w:val="0"/>
      <w:widowControl w:val="0"/>
      <w:suppressLineNumbers w:val="0"/>
      <w:suppressAutoHyphens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pageBreakBefore w:val="0"/>
      <w:widowControl w:val="0"/>
      <w:suppressLineNumbers w:val="0"/>
      <w:suppressAutoHyphens w:val="0"/>
      <w:spacing w:before="260" w:after="260" w:line="415" w:lineRule="auto"/>
      <w:outlineLvl w:val="2"/>
    </w:pPr>
    <w:rPr>
      <w:rFonts w:eastAsia="方正楷体_GBK"/>
      <w:b/>
      <w:sz w:val="32"/>
    </w:rPr>
  </w:style>
  <w:style w:type="character" w:default="1" w:styleId="10">
    <w:name w:val="Default Paragraph Font"/>
  </w:style>
  <w:style w:type="paragraph" w:styleId="15">
    <w:name w:val="toc 5"/>
    <w:basedOn w:val="0"/>
    <w:autoRedefine/>
    <w:next w:val="0"/>
    <w:pPr>
      <w:ind w:left="1680"/>
    </w:p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17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18">
    <w:name w:val="caption"/>
    <w:next w:val="0"/>
    <w:pPr>
      <w:widowControl w:val="0"/>
      <w:jc w:val="both"/>
    </w:pPr>
    <w:rPr>
      <w:rFonts w:ascii="Arial" w:eastAsia="黑体" w:cs="Arial" w:hAnsi="Arial"/>
      <w:b/>
      <w:bCs/>
      <w:kern w:val="2"/>
      <w:sz w:val="20"/>
      <w:szCs w:val="20"/>
      <w:lang w:val="en-US" w:eastAsia="zh-CN" w:bidi="ar-SA"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8 10 磅"/>
    <w:next w:val="15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25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26">
    <w:name w:val="List 2"/>
    <w:basedOn w:val="0"/>
    <w:pPr>
      <w:ind w:left="840" w:hanging="420"/>
    </w:pPr>
  </w:style>
  <w:style w:type="paragraph" w:customStyle="1" w:styleId="27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List Paragraph"/>
    <w:next w:val="26"/>
    <w:pPr>
      <w:widowControl w:val="0"/>
      <w:ind w:firstLineChars="200" w:firstLine="20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34">
    <w:name w:val="List"/>
    <w:basedOn w:val="0"/>
    <w:pPr>
      <w:ind w:left="420" w:hanging="420"/>
    </w:pPr>
  </w:style>
  <w:style w:type="paragraph" w:styleId="35">
    <w:name w:val="List 3"/>
    <w:basedOn w:val="0"/>
    <w:pPr>
      <w:ind w:left="1260" w:hanging="420"/>
    </w:pPr>
  </w:style>
  <w:style w:type="paragraph" w:styleId="36">
    <w:name w:val="List Number 4"/>
    <w:basedOn w:val="0"/>
    <w:pPr>
      <w:numPr>
        <w:ilvl w:val="0"/>
        <w:numId w:val="1"/>
      </w:numPr>
    </w:pPr>
  </w:style>
  <w:style w:type="paragraph" w:styleId="37">
    <w:name w:val="Normal (Web)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38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styleId="39">
    <w:name w:val="endnote reference"/>
    <w:basedOn w:val="10"/>
    <w:rPr>
      <w:vertAlign w:val="superscript"/>
    </w:rPr>
  </w:style>
  <w:style w:type="paragraph" w:styleId="40">
    <w:name w:val="macro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  <w:jc w:val="left"/>
    </w:pPr>
    <w:rPr>
      <w:rFonts w:ascii="Courier New" w:eastAsia="宋体" w:cs="Times New Roman" w:hAnsi="Courier New"/>
      <w:sz w:val="24"/>
      <w:szCs w:val="24"/>
      <w:lang w:val="en-US" w:eastAsia="zh-CN" w:bidi="ar-SA"/>
    </w:rPr>
  </w:style>
  <w:style w:type="paragraph" w:styleId="41">
    <w:name w:val="List Bullet 5"/>
    <w:basedOn w:val="0"/>
    <w:pPr>
      <w:numPr>
        <w:ilvl w:val="0"/>
        <w:numId w:val="2"/>
      </w:numPr>
    </w:pPr>
  </w:style>
  <w:style w:type="paragraph" w:customStyle="1" w:styleId="42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35 10 磅"/>
    <w:next w:val="62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45">
    <w:name w:val="样式 3 小四"/>
    <w:next w:val="40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46">
    <w:name w:val="样式 12 小四"/>
    <w:next w:val="41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4"/>
      <w:lang w:val="en-US" w:eastAsia="zh-CN" w:bidi="ar-SA"/>
    </w:rPr>
  </w:style>
  <w:style w:type="paragraph" w:styleId="47">
    <w:name w:val="List Bullet 2"/>
    <w:basedOn w:val="0"/>
    <w:pPr>
      <w:numPr>
        <w:ilvl w:val="0"/>
        <w:numId w:val="3"/>
      </w:numPr>
    </w:pPr>
  </w:style>
  <w:style w:type="paragraph" w:styleId="48">
    <w:name w:val="List Bullet 3"/>
    <w:basedOn w:val="0"/>
    <w:pPr>
      <w:numPr>
        <w:ilvl w:val="0"/>
        <w:numId w:val="4"/>
      </w:numPr>
    </w:pPr>
  </w:style>
  <w:style w:type="paragraph" w:customStyle="1" w:styleId="49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37 10 磅"/>
    <w:next w:val="48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2">
    <w:name w:val="样式 54 10 磅"/>
    <w:next w:val="80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53">
    <w:name w:val="toc 1"/>
    <w:basedOn w:val="0"/>
    <w:autoRedefine/>
    <w:next w:val="0"/>
  </w:style>
  <w:style w:type="paragraph" w:styleId="54">
    <w:name w:val="toc 7"/>
    <w:basedOn w:val="0"/>
    <w:autoRedefine/>
    <w:next w:val="0"/>
    <w:pPr>
      <w:ind w:left="2520"/>
    </w:pPr>
  </w:style>
  <w:style w:type="paragraph" w:styleId="55">
    <w:name w:val="Normal Indent"/>
    <w:basedOn w:val="0"/>
    <w:pPr>
      <w:ind w:firstLine="420"/>
    </w:pPr>
  </w:style>
  <w:style w:type="character" w:styleId="56">
    <w:name w:val="line number"/>
    <w:basedOn w:val="10"/>
  </w:style>
  <w:style w:type="paragraph" w:styleId="57">
    <w:name w:val="table of authorities"/>
    <w:basedOn w:val="0"/>
    <w:next w:val="0"/>
    <w:pPr>
      <w:ind w:left="420"/>
    </w:pPr>
  </w:style>
  <w:style w:type="paragraph" w:styleId="58">
    <w:name w:val="toa heading"/>
    <w:basedOn w:val="0"/>
    <w:next w:val="0"/>
    <w:pPr>
      <w:spacing w:before="120"/>
    </w:pPr>
    <w:rPr>
      <w:rFonts w:ascii="Arial" w:hAnsi="Arial"/>
      <w:sz w:val="24"/>
      <w:szCs w:val="24"/>
    </w:rPr>
  </w:style>
  <w:style w:type="paragraph" w:customStyle="1" w:styleId="5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1">
    <w:name w:val="样式 小四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62">
    <w:name w:val="样式 1 小四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63">
    <w:name w:val="样式 2 小四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64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5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6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7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8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1">
    <w:name w:val="样式 33 10 磅"/>
    <w:next w:val="58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2">
    <w:name w:val="样式 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3">
    <w:name w:val="样式 2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4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5">
    <w:name w:val="样式 36 10 磅"/>
    <w:next w:val="61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6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7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8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9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0">
    <w:name w:val="样式 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1">
    <w:name w:val="样式 39 10 磅"/>
    <w:next w:val="68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2">
    <w:name w:val="样式 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3">
    <w:name w:val="样式 4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4">
    <w:name w:val="样式 4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5">
    <w:name w:val="样式 4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6">
    <w:name w:val="样式 4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7">
    <w:name w:val="样式 4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8">
    <w:name w:val="样式 4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9">
    <w:name w:val="样式 4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0">
    <w:name w:val="样式 4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1">
    <w:name w:val="样式 4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2">
    <w:name w:val="样式 25 11 磅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93">
    <w:name w:val="样式 24 11 磅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94">
    <w:name w:val="样式 23 11 磅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95">
    <w:name w:val="样式 22 11 磅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96">
    <w:name w:val="样式 21 11 磅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97">
    <w:name w:val="样式 20 11 磅"/>
    <w:next w:val="116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98">
    <w:name w:val="样式 19 11 磅"/>
    <w:next w:val="115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99">
    <w:name w:val="样式 18 11 磅"/>
    <w:next w:val="114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0">
    <w:name w:val="样式 17 11 磅"/>
    <w:next w:val="113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1">
    <w:name w:val="样式 16 11 磅"/>
    <w:next w:val="112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2">
    <w:name w:val="样式 15 11 磅"/>
    <w:next w:val="111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3">
    <w:name w:val="样式 14 11 磅"/>
    <w:next w:val="110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4">
    <w:name w:val="样式 13 11 磅"/>
    <w:next w:val="109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5">
    <w:name w:val="样式 12 11 磅"/>
    <w:next w:val="108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6">
    <w:name w:val="样式 11 11 磅"/>
    <w:next w:val="107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7">
    <w:name w:val="样式 10 11 磅"/>
    <w:next w:val="106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8">
    <w:name w:val="样式 9 11 磅"/>
    <w:next w:val="105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9">
    <w:name w:val="样式 8 11 磅"/>
    <w:next w:val="104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10">
    <w:name w:val="样式 7 11 磅"/>
    <w:next w:val="103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11">
    <w:name w:val="样式 6 11 磅"/>
    <w:next w:val="102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12">
    <w:name w:val="样式 5 11 磅"/>
    <w:next w:val="101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13">
    <w:name w:val="样式 4 11 磅"/>
    <w:next w:val="100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14">
    <w:name w:val="样式 3 11 磅"/>
    <w:next w:val="99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15">
    <w:name w:val="样式 2 11 磅"/>
    <w:next w:val="98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16">
    <w:name w:val="样式 1 11 磅"/>
    <w:next w:val="97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character" w:styleId="168">
    <w:name w:val="Hyperlink"/>
    <w:basedOn w:val="10"/>
    <w:rPr>
      <w:color w:val="0000FF"/>
      <w:u w:val="single"/>
    </w:rPr>
  </w:style>
  <w:style w:type="paragraph" w:customStyle="1" w:styleId="205">
    <w:name w:val="样式 5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6">
    <w:name w:val="样式 5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8">
    <w:name w:val="样式 5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9">
    <w:name w:val="样式 5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0">
    <w:name w:val="样式 56 10 磅"/>
    <w:next w:val="91"/>
    <w:link w:val="210Char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customStyle="1" w:styleId="210Char">
    <w:name w:val="样式 56 10 磅 Char"/>
    <w:basedOn w:val="10"/>
    <w:link w:val="210"/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1">
    <w:name w:val="样式 5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2">
    <w:name w:val="样式 58 10 磅"/>
    <w:next w:val="93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82</TotalTime>
  <Application>Yozo_Office</Application>
  <Pages>3</Pages>
  <Words>1003</Words>
  <Characters>1089</Characters>
  <Lines>62</Lines>
  <Paragraphs>36</Paragraphs>
  <CharactersWithSpaces>1091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杨璐</dc:creator>
  <cp:lastModifiedBy>杨璐</cp:lastModifiedBy>
  <cp:revision>1</cp:revision>
  <dcterms:created xsi:type="dcterms:W3CDTF">2025-05-12T01:25:53Z</dcterms:created>
  <dcterms:modified xsi:type="dcterms:W3CDTF">2025-12-01T03:12:29Z</dcterms:modified>
</cp:coreProperties>
</file>