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firstLine="0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tbl>
      <w:tblPr>
        <w:jc w:val="left"/>
        <w:tblInd w:w="0" w:type="dxa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862"/>
      </w:tblGrid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赛罕海关机房柜式七氟丙烷气体灭火装置灭火剂瓶组检测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11000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最低价法</w:t>
            </w:r>
          </w:p>
        </w:tc>
      </w:tr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3421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4825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1.具有独立承担民事责任的能力。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2.单位负责人为同一人或者存在直接控股、管理关系的不同服务商，不得参加同一合同项下的采购活动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对在“信用中国”网站(www.creditchina.gov.cn)、中国政府采购网(www.ccgp.gov.cn)等渠道列入失信被执行人、重大税收违法失信主体、政府采购严重违法失信行为记录名单及其他不符合《中华人民共和国政府采购法》第二十二条规定条件的服务商，不得参与采购活动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4.参加政府采购前三年内，在经营活动中没有重大违法记录。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5.营业执照经营范围需包含相关项目。</w:t>
            </w:r>
          </w:p>
        </w:tc>
      </w:tr>
      <w:tr>
        <w:trPr>
          <w:trHeight w:val="4159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</w:tc>
        <w:tc>
          <w:tcPr>
            <w:tcW w:w="6862" w:type="dxa"/>
          </w:tcPr>
          <w:p>
            <w:pPr>
              <w:spacing w:line="400" w:lineRule="exact"/>
              <w:ind w:firstLine="0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1.工期：10工作日。</w:t>
            </w:r>
          </w:p>
          <w:p>
            <w:pPr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2.根据国家标准充装七氟丙烷药剂，并对七氟丙烷钢瓶进行质量检测。</w:t>
            </w:r>
          </w:p>
          <w:p>
            <w:pPr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3.检测结束后，出具符合国家标准的检测报告。</w:t>
            </w:r>
          </w:p>
          <w:p>
            <w:pPr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4.在对柜式七氟丙烷气体灭火装置灭火剂瓶组的运输、装卸全过程中，须采取符合国家相关标准的防护措施，确保甲方所有钢瓶及附属设施（含阀门、压力表、接口管路、柜体外壳等）完好无损。</w:t>
            </w:r>
          </w:p>
        </w:tc>
      </w:tr>
      <w:tr>
        <w:trPr>
          <w:trHeight w:val="2267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62" w:type="dxa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rPr>
          <w:trHeight w:val="2267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其他因素</w:t>
            </w:r>
          </w:p>
        </w:tc>
        <w:tc>
          <w:tcPr>
            <w:tcW w:w="6862" w:type="dxa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altName w:val="Microsoft YaHei UI"/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altName w:val="Microsoft YaHei UI"/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楷体_GBK">
    <w:altName w:val="Microsoft YaHei UI"/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仿宋_GBK">
    <w:altName w:val="Microsoft YaHei UI"/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styleId="57">
    <w:name w:val="page number"/>
    <w:basedOn w:val="10"/>
  </w:style>
  <w:style w:type="paragraph" w:customStyle="1" w:styleId="58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347</TotalTime>
  <Application>Yozo_Office</Application>
  <Pages>2</Pages>
  <Words>508</Words>
  <Characters>563</Characters>
  <Lines>41</Lines>
  <Paragraphs>26</Paragraphs>
  <CharactersWithSpaces>563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韩宇</cp:lastModifiedBy>
  <cp:revision>2</cp:revision>
  <cp:lastPrinted>2025-07-02T10:14:00Z</cp:lastPrinted>
  <dcterms:created xsi:type="dcterms:W3CDTF">2025-05-16T10:09:00Z</dcterms:created>
  <dcterms:modified xsi:type="dcterms:W3CDTF">2025-12-01T07:38:08Z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