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pStyle w:val="1"/>
        <w:numPr>
          <w:ilvl w:val="0"/>
          <w:numId w:val="0"/>
        </w:numPr>
        <w:spacing w:line="360" w:lineRule="auto"/>
        <w:ind w:left="432" w:hanging="432"/>
        <w:jc w:val="center"/>
        <w:rPr>
          <w:rFonts w:ascii="宋体" w:cs="宋体"/>
          <w:sz w:val="40"/>
          <w:szCs w:val="40"/>
        </w:rPr>
      </w:pPr>
      <w:r>
        <w:rPr>
          <w:rFonts w:ascii="宋体" w:cs="宋体" w:hint="eastAsia"/>
          <w:sz w:val="40"/>
          <w:szCs w:val="40"/>
        </w:rPr>
        <w:t>关于金华海关2025年技术机构空调更新项目的</w:t>
      </w:r>
      <w:bookmarkStart w:id="0" w:name="_GoBack"/>
      <w:bookmarkEnd w:id="0"/>
      <w:r>
        <w:rPr>
          <w:rFonts w:ascii="宋体" w:cs="宋体" w:hint="eastAsia"/>
          <w:sz w:val="40"/>
          <w:szCs w:val="40"/>
        </w:rPr>
        <w:t>公开招标公告</w:t>
      </w:r>
    </w:p>
    <w:p>
      <w:pPr>
        <w:spacing w:line="460" w:lineRule="exact"/>
        <w:ind w:firstLineChars="200" w:firstLine="480"/>
        <w:rPr>
          <w:rFonts w:ascii="宋体" w:cs="宋体"/>
          <w:b/>
          <w:bCs/>
          <w:sz w:val="24"/>
          <w:szCs w:val="24"/>
        </w:rPr>
      </w:pPr>
      <w:bookmarkStart w:id="1" w:name="_Toc28359079"/>
      <w:bookmarkStart w:id="2" w:name="_Toc35393790"/>
      <w:bookmarkStart w:id="3" w:name="_Toc35393621"/>
      <w:bookmarkStart w:id="4" w:name="_Toc28359002"/>
      <w:bookmarkStart w:id="5" w:name="_Hlk24379207"/>
      <w:r>
        <w:rPr>
          <w:rFonts w:ascii="宋体" w:cs="宋体" w:hint="eastAsia"/>
          <w:b/>
          <w:bCs/>
          <w:sz w:val="24"/>
          <w:szCs w:val="24"/>
        </w:rPr>
        <w:t>一、项目基本情况</w:t>
      </w:r>
      <w:bookmarkEnd w:id="1"/>
      <w:bookmarkEnd w:id="2"/>
      <w:bookmarkEnd w:id="3"/>
      <w:bookmarkEnd w:id="4"/>
    </w:p>
    <w:p>
      <w:pPr>
        <w:spacing w:line="460" w:lineRule="exact"/>
        <w:ind w:firstLineChars="200" w:firstLine="480"/>
        <w:rPr>
          <w:rFonts w:ascii="宋体" w:cs="宋体"/>
          <w:b/>
          <w:bCs/>
          <w:kern w:val="0"/>
          <w:sz w:val="24"/>
          <w:szCs w:val="24"/>
        </w:rPr>
      </w:pPr>
      <w:r>
        <w:rPr>
          <w:rFonts w:ascii="宋体" w:cs="宋体" w:hint="eastAsia"/>
          <w:b/>
          <w:bCs/>
          <w:kern w:val="0"/>
          <w:sz w:val="24"/>
          <w:szCs w:val="24"/>
        </w:rPr>
        <w:t xml:space="preserve">项目编号：JHTY2025-ZFCG019   </w:t>
      </w:r>
    </w:p>
    <w:p>
      <w:pPr>
        <w:spacing w:line="460" w:lineRule="exact"/>
        <w:ind w:rightChars="-27" w:right="-57" w:firstLineChars="200" w:firstLine="480"/>
        <w:rPr>
          <w:rFonts w:ascii="宋体" w:cs="宋体"/>
          <w:b/>
          <w:bCs/>
          <w:kern w:val="0"/>
          <w:sz w:val="24"/>
          <w:szCs w:val="24"/>
        </w:rPr>
      </w:pPr>
      <w:r>
        <w:rPr>
          <w:rFonts w:ascii="宋体" w:cs="宋体" w:hint="eastAsia"/>
          <w:b/>
          <w:bCs/>
          <w:kern w:val="0"/>
          <w:sz w:val="24"/>
          <w:szCs w:val="24"/>
        </w:rPr>
        <w:t>项目名称：金华海关2025年技术机构空调更新项目</w:t>
      </w:r>
    </w:p>
    <w:p>
      <w:pPr>
        <w:spacing w:line="460" w:lineRule="exact"/>
        <w:ind w:firstLineChars="200" w:firstLine="480"/>
        <w:rPr>
          <w:rFonts w:ascii="宋体" w:cs="宋体"/>
          <w:b/>
          <w:bCs/>
          <w:kern w:val="0"/>
          <w:sz w:val="24"/>
          <w:szCs w:val="24"/>
        </w:rPr>
      </w:pPr>
      <w:bookmarkEnd w:id="5"/>
      <w:r>
        <w:rPr>
          <w:rFonts w:ascii="宋体" w:cs="宋体" w:hint="eastAsia"/>
          <w:b/>
          <w:bCs/>
          <w:kern w:val="0"/>
          <w:sz w:val="24"/>
          <w:szCs w:val="24"/>
        </w:rPr>
        <w:t>采购方式：公开招标</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预算金额（元）：1780000</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最高限价（元）：1780000</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采购需求：</w:t>
      </w:r>
    </w:p>
    <w:tbl>
      <w:tblPr>
        <w:jc w:val="center"/>
        <w:tblW w:w="9337" w:type="dxa"/>
        <w:tblBorders>
          <w:top w:val="single" w:sz="4" w:space="0" w:color="auto"/>
          <w:left w:val="single" w:sz="4" w:space="0" w:color="auto"/>
          <w:bottom w:val="single" w:sz="4" w:space="0" w:color="auto"/>
          <w:right w:val="single" w:sz="4" w:space="0" w:color="auto"/>
        </w:tblBorders>
        <w:tblLayout w:type="fixed"/>
        <w:tblCellMar>
          <w:top w:w="0" w:type="dxa"/>
          <w:left w:w="108" w:type="dxa"/>
          <w:bottom w:w="0" w:type="dxa"/>
          <w:right w:w="108" w:type="dxa"/>
        </w:tblCellMar>
      </w:tblPr>
      <w:tblGrid>
        <w:gridCol w:w="849"/>
        <w:gridCol w:w="3389"/>
        <w:gridCol w:w="1452"/>
        <w:gridCol w:w="977"/>
        <w:gridCol w:w="946"/>
        <w:gridCol w:w="1724"/>
      </w:tblGrid>
      <w:tr>
        <w:trPr>
          <w:trHeight w:val="661"/>
        </w:trPr>
        <w:tc>
          <w:tcPr>
            <w:tcW w:w="849" w:type="dxa"/>
            <w:tcBorders>
              <w:top w:val="single" w:sz="4" w:space="0" w:color="auto"/>
              <w:left w:val="single" w:sz="4" w:space="0" w:color="auto"/>
              <w:bottom w:val="single" w:sz="4" w:space="0" w:color="auto"/>
              <w:right w:val="single" w:sz="4" w:space="0" w:color="auto"/>
            </w:tcBorders>
            <w:vAlign w:val="center"/>
          </w:tcPr>
          <w:p>
            <w:pPr>
              <w:snapToGrid w:val="0"/>
              <w:spacing w:line="360" w:lineRule="exact"/>
              <w:jc w:val="center"/>
              <w:rPr>
                <w:rFonts w:ascii="宋体" w:cs="宋体"/>
                <w:b/>
                <w:sz w:val="24"/>
                <w:szCs w:val="24"/>
              </w:rPr>
            </w:pPr>
            <w:r>
              <w:rPr>
                <w:rFonts w:ascii="宋体" w:cs="宋体" w:hint="eastAsia"/>
                <w:b/>
                <w:sz w:val="24"/>
                <w:szCs w:val="24"/>
              </w:rPr>
              <w:t>序号</w:t>
            </w:r>
          </w:p>
        </w:tc>
        <w:tc>
          <w:tcPr>
            <w:tcW w:w="3389" w:type="dxa"/>
            <w:tcBorders>
              <w:top w:val="single" w:sz="4" w:space="0" w:color="auto"/>
              <w:left w:val="single" w:sz="4" w:space="0" w:color="auto"/>
              <w:bottom w:val="single" w:sz="4" w:space="0" w:color="auto"/>
              <w:right w:val="single" w:sz="4" w:space="0" w:color="auto"/>
            </w:tcBorders>
            <w:vAlign w:val="center"/>
          </w:tcPr>
          <w:p>
            <w:pPr>
              <w:snapToGrid w:val="0"/>
              <w:spacing w:line="360" w:lineRule="exact"/>
              <w:jc w:val="center"/>
              <w:rPr>
                <w:rFonts w:ascii="宋体" w:cs="宋体"/>
                <w:b/>
                <w:sz w:val="24"/>
                <w:szCs w:val="24"/>
              </w:rPr>
            </w:pPr>
            <w:r>
              <w:rPr>
                <w:rFonts w:ascii="宋体" w:cs="宋体" w:hint="eastAsia"/>
                <w:b/>
                <w:sz w:val="24"/>
                <w:szCs w:val="24"/>
              </w:rPr>
              <w:t>项目名称</w:t>
            </w:r>
          </w:p>
        </w:tc>
        <w:tc>
          <w:tcPr>
            <w:tcW w:w="1452" w:type="dxa"/>
            <w:tcBorders>
              <w:top w:val="single" w:sz="4" w:space="0" w:color="auto"/>
              <w:left w:val="single" w:sz="4" w:space="0" w:color="auto"/>
              <w:bottom w:val="single" w:sz="4" w:space="0" w:color="auto"/>
              <w:right w:val="single" w:sz="4" w:space="0" w:color="auto"/>
            </w:tcBorders>
            <w:vAlign w:val="center"/>
          </w:tcPr>
          <w:p>
            <w:pPr>
              <w:snapToGrid w:val="0"/>
              <w:spacing w:line="360" w:lineRule="exact"/>
              <w:jc w:val="center"/>
              <w:rPr>
                <w:rFonts w:ascii="宋体" w:cs="宋体"/>
                <w:b/>
                <w:sz w:val="24"/>
                <w:szCs w:val="24"/>
              </w:rPr>
            </w:pPr>
            <w:r>
              <w:rPr>
                <w:rFonts w:ascii="宋体" w:cs="宋体" w:hint="eastAsia"/>
                <w:b/>
                <w:sz w:val="24"/>
                <w:szCs w:val="24"/>
              </w:rPr>
              <w:t>规格及要求</w:t>
            </w:r>
          </w:p>
        </w:tc>
        <w:tc>
          <w:tcPr>
            <w:tcW w:w="977" w:type="dxa"/>
            <w:tcBorders>
              <w:top w:val="single" w:sz="4" w:space="0" w:color="auto"/>
              <w:left w:val="single" w:sz="4" w:space="0" w:color="auto"/>
              <w:bottom w:val="single" w:sz="4" w:space="0" w:color="auto"/>
              <w:right w:val="single" w:sz="4" w:space="0" w:color="auto"/>
            </w:tcBorders>
            <w:vAlign w:val="center"/>
          </w:tcPr>
          <w:p>
            <w:pPr>
              <w:snapToGrid w:val="0"/>
              <w:spacing w:line="360" w:lineRule="exact"/>
              <w:jc w:val="center"/>
              <w:rPr>
                <w:rFonts w:ascii="宋体" w:cs="宋体"/>
                <w:b/>
                <w:sz w:val="24"/>
                <w:szCs w:val="24"/>
              </w:rPr>
            </w:pPr>
            <w:r>
              <w:rPr>
                <w:rFonts w:ascii="宋体" w:cs="宋体" w:hint="eastAsia"/>
                <w:b/>
                <w:sz w:val="24"/>
                <w:szCs w:val="24"/>
              </w:rPr>
              <w:t>单位</w:t>
            </w:r>
          </w:p>
        </w:tc>
        <w:tc>
          <w:tcPr>
            <w:tcW w:w="946" w:type="dxa"/>
            <w:tcBorders>
              <w:top w:val="single" w:sz="4" w:space="0" w:color="auto"/>
              <w:left w:val="single" w:sz="4" w:space="0" w:color="auto"/>
              <w:bottom w:val="single" w:sz="4" w:space="0" w:color="auto"/>
              <w:right w:val="single" w:sz="4" w:space="0" w:color="auto"/>
            </w:tcBorders>
            <w:vAlign w:val="center"/>
          </w:tcPr>
          <w:p>
            <w:pPr>
              <w:snapToGrid w:val="0"/>
              <w:spacing w:line="360" w:lineRule="exact"/>
              <w:jc w:val="center"/>
              <w:rPr>
                <w:rFonts w:ascii="宋体" w:cs="宋体"/>
                <w:b/>
                <w:sz w:val="24"/>
                <w:szCs w:val="24"/>
              </w:rPr>
            </w:pPr>
            <w:r>
              <w:rPr>
                <w:rFonts w:ascii="宋体" w:cs="宋体" w:hint="eastAsia"/>
                <w:b/>
                <w:sz w:val="24"/>
                <w:szCs w:val="24"/>
              </w:rPr>
              <w:t>数量</w:t>
            </w:r>
          </w:p>
        </w:tc>
        <w:tc>
          <w:tcPr>
            <w:tcW w:w="1724" w:type="dxa"/>
            <w:tcBorders>
              <w:top w:val="single" w:sz="4" w:space="0" w:color="auto"/>
              <w:left w:val="single" w:sz="4" w:space="0" w:color="auto"/>
              <w:bottom w:val="single" w:sz="4" w:space="0" w:color="auto"/>
              <w:right w:val="single" w:sz="4" w:space="0" w:color="auto"/>
            </w:tcBorders>
            <w:vAlign w:val="center"/>
          </w:tcPr>
          <w:p>
            <w:pPr>
              <w:snapToGrid w:val="0"/>
              <w:spacing w:line="360" w:lineRule="exact"/>
              <w:jc w:val="center"/>
              <w:rPr>
                <w:rFonts w:ascii="宋体" w:cs="宋体"/>
                <w:b/>
                <w:sz w:val="24"/>
                <w:szCs w:val="24"/>
              </w:rPr>
            </w:pPr>
            <w:r>
              <w:rPr>
                <w:rFonts w:ascii="宋体" w:cs="宋体" w:hint="eastAsia"/>
                <w:b/>
                <w:sz w:val="24"/>
                <w:szCs w:val="24"/>
              </w:rPr>
              <w:t>预算金额</w:t>
            </w:r>
          </w:p>
          <w:p>
            <w:pPr>
              <w:snapToGrid w:val="0"/>
              <w:spacing w:line="360" w:lineRule="exact"/>
              <w:jc w:val="center"/>
              <w:rPr>
                <w:rFonts w:ascii="宋体" w:cs="宋体"/>
                <w:b/>
              </w:rPr>
            </w:pPr>
            <w:r>
              <w:rPr>
                <w:rFonts w:ascii="宋体" w:cs="宋体" w:hint="eastAsia"/>
                <w:b/>
                <w:sz w:val="24"/>
                <w:szCs w:val="24"/>
              </w:rPr>
              <w:t>（万元）</w:t>
            </w:r>
          </w:p>
        </w:tc>
      </w:tr>
      <w:tr>
        <w:trPr>
          <w:trHeight w:val="1209"/>
        </w:trPr>
        <w:tc>
          <w:tcPr>
            <w:tcW w:w="849" w:type="dxa"/>
            <w:tcBorders>
              <w:top w:val="single" w:sz="4" w:space="0" w:color="auto"/>
              <w:left w:val="single" w:sz="4" w:space="0" w:color="auto"/>
              <w:right w:val="single" w:sz="4" w:space="0" w:color="auto"/>
            </w:tcBorders>
            <w:vAlign w:val="center"/>
          </w:tcPr>
          <w:p>
            <w:pPr>
              <w:snapToGrid w:val="0"/>
              <w:spacing w:line="360" w:lineRule="exact"/>
              <w:jc w:val="center"/>
              <w:rPr>
                <w:rFonts w:ascii="宋体" w:cs="宋体"/>
                <w:sz w:val="24"/>
                <w:szCs w:val="24"/>
              </w:rPr>
            </w:pPr>
            <w:r>
              <w:rPr>
                <w:rFonts w:ascii="宋体" w:cs="宋体" w:hint="eastAsia"/>
                <w:sz w:val="24"/>
                <w:szCs w:val="24"/>
              </w:rPr>
              <w:t>1</w:t>
            </w:r>
          </w:p>
        </w:tc>
        <w:tc>
          <w:tcPr>
            <w:tcW w:w="3389" w:type="dxa"/>
            <w:tcBorders>
              <w:top w:val="single" w:sz="4" w:space="0" w:color="auto"/>
              <w:left w:val="single" w:sz="4" w:space="0" w:color="auto"/>
              <w:right w:val="single" w:sz="4" w:space="0" w:color="auto"/>
            </w:tcBorders>
            <w:vAlign w:val="center"/>
          </w:tcPr>
          <w:p>
            <w:pPr>
              <w:snapToGrid w:val="0"/>
              <w:spacing w:line="360" w:lineRule="exact"/>
              <w:jc w:val="center"/>
              <w:rPr>
                <w:rFonts w:ascii="宋体" w:cs="宋体"/>
                <w:sz w:val="24"/>
                <w:szCs w:val="24"/>
              </w:rPr>
            </w:pPr>
            <w:r>
              <w:rPr>
                <w:rFonts w:ascii="宋体" w:cs="宋体" w:hint="eastAsia"/>
                <w:sz w:val="24"/>
                <w:szCs w:val="24"/>
              </w:rPr>
              <w:t>金华海关2025年技术机构</w:t>
            </w:r>
          </w:p>
          <w:p>
            <w:pPr>
              <w:snapToGrid w:val="0"/>
              <w:spacing w:line="360" w:lineRule="exact"/>
              <w:jc w:val="center"/>
              <w:rPr>
                <w:rFonts w:ascii="宋体" w:cs="宋体"/>
                <w:sz w:val="24"/>
                <w:szCs w:val="24"/>
              </w:rPr>
            </w:pPr>
            <w:r>
              <w:rPr>
                <w:rFonts w:ascii="宋体" w:cs="宋体" w:hint="eastAsia"/>
                <w:sz w:val="24"/>
                <w:szCs w:val="24"/>
              </w:rPr>
              <w:t>空调更新项目</w:t>
            </w:r>
          </w:p>
        </w:tc>
        <w:tc>
          <w:tcPr>
            <w:tcW w:w="1452" w:type="dxa"/>
            <w:tcBorders>
              <w:top w:val="single" w:sz="4" w:space="0" w:color="auto"/>
              <w:left w:val="single" w:sz="4" w:space="0" w:color="auto"/>
              <w:right w:val="single" w:sz="4" w:space="0" w:color="auto"/>
            </w:tcBorders>
            <w:vAlign w:val="center"/>
          </w:tcPr>
          <w:p>
            <w:pPr>
              <w:snapToGrid w:val="0"/>
              <w:spacing w:line="360" w:lineRule="exact"/>
              <w:jc w:val="center"/>
              <w:rPr>
                <w:rFonts w:ascii="宋体" w:cs="宋体"/>
                <w:sz w:val="24"/>
                <w:szCs w:val="24"/>
              </w:rPr>
            </w:pPr>
            <w:r>
              <w:rPr>
                <w:rFonts w:ascii="宋体" w:cs="宋体" w:hint="eastAsia"/>
                <w:sz w:val="24"/>
                <w:szCs w:val="24"/>
              </w:rPr>
              <w:t>详见招标文件第二章采购需求</w:t>
            </w:r>
          </w:p>
        </w:tc>
        <w:tc>
          <w:tcPr>
            <w:tcW w:w="977" w:type="dxa"/>
            <w:tcBorders>
              <w:top w:val="single" w:sz="4" w:space="0" w:color="auto"/>
              <w:left w:val="single" w:sz="4" w:space="0" w:color="auto"/>
              <w:right w:val="single" w:sz="4" w:space="0" w:color="auto"/>
            </w:tcBorders>
            <w:vAlign w:val="center"/>
          </w:tcPr>
          <w:p>
            <w:pPr>
              <w:snapToGrid w:val="0"/>
              <w:spacing w:line="360" w:lineRule="exact"/>
              <w:jc w:val="center"/>
              <w:rPr>
                <w:rFonts w:ascii="宋体" w:cs="宋体"/>
                <w:sz w:val="24"/>
                <w:szCs w:val="24"/>
              </w:rPr>
            </w:pPr>
            <w:r>
              <w:rPr>
                <w:rFonts w:ascii="宋体" w:cs="宋体" w:hint="eastAsia"/>
                <w:sz w:val="24"/>
                <w:szCs w:val="24"/>
              </w:rPr>
              <w:t>项</w:t>
            </w:r>
          </w:p>
        </w:tc>
        <w:tc>
          <w:tcPr>
            <w:tcW w:w="946" w:type="dxa"/>
            <w:tcBorders>
              <w:top w:val="single" w:sz="4" w:space="0" w:color="auto"/>
              <w:left w:val="single" w:sz="4" w:space="0" w:color="auto"/>
              <w:right w:val="single" w:sz="4" w:space="0" w:color="auto"/>
            </w:tcBorders>
            <w:vAlign w:val="center"/>
          </w:tcPr>
          <w:p>
            <w:pPr>
              <w:snapToGrid w:val="0"/>
              <w:spacing w:line="360" w:lineRule="exact"/>
              <w:jc w:val="center"/>
              <w:rPr>
                <w:rFonts w:ascii="宋体" w:cs="宋体"/>
                <w:sz w:val="24"/>
                <w:szCs w:val="24"/>
              </w:rPr>
            </w:pPr>
            <w:r>
              <w:rPr>
                <w:rFonts w:ascii="宋体" w:cs="宋体" w:hint="eastAsia"/>
                <w:sz w:val="24"/>
                <w:szCs w:val="24"/>
              </w:rPr>
              <w:t>1</w:t>
            </w:r>
          </w:p>
        </w:tc>
        <w:tc>
          <w:tcPr>
            <w:tcW w:w="1724" w:type="dxa"/>
            <w:tcBorders>
              <w:top w:val="single" w:sz="4" w:space="0" w:color="auto"/>
              <w:left w:val="single" w:sz="4" w:space="0" w:color="auto"/>
              <w:bottom w:val="single" w:sz="4" w:space="0" w:color="auto"/>
              <w:right w:val="single" w:sz="4" w:space="0" w:color="auto"/>
            </w:tcBorders>
            <w:vAlign w:val="center"/>
          </w:tcPr>
          <w:p>
            <w:pPr>
              <w:snapToGrid w:val="0"/>
              <w:spacing w:line="360" w:lineRule="exact"/>
              <w:jc w:val="center"/>
              <w:rPr>
                <w:rFonts w:ascii="宋体" w:cs="宋体"/>
                <w:sz w:val="24"/>
                <w:szCs w:val="24"/>
              </w:rPr>
            </w:pPr>
            <w:r>
              <w:rPr>
                <w:rFonts w:ascii="宋体" w:cs="宋体" w:hint="eastAsia"/>
                <w:sz w:val="24"/>
                <w:szCs w:val="24"/>
              </w:rPr>
              <w:t>178</w:t>
            </w:r>
          </w:p>
        </w:tc>
      </w:tr>
    </w:tbl>
    <w:p>
      <w:pPr>
        <w:spacing w:line="460" w:lineRule="exact"/>
        <w:ind w:firstLineChars="200" w:firstLine="480"/>
        <w:rPr>
          <w:rFonts w:ascii="宋体" w:cs="宋体"/>
          <w:kern w:val="0"/>
          <w:sz w:val="24"/>
          <w:szCs w:val="24"/>
        </w:rPr>
      </w:pPr>
      <w:r>
        <w:rPr>
          <w:rFonts w:ascii="宋体" w:cs="宋体" w:hint="eastAsia"/>
          <w:kern w:val="0"/>
          <w:sz w:val="24"/>
          <w:szCs w:val="24"/>
        </w:rPr>
        <w:t>合同履行期限：详见招标文件</w:t>
      </w:r>
    </w:p>
    <w:p>
      <w:pPr>
        <w:spacing w:line="460" w:lineRule="exact"/>
        <w:ind w:firstLineChars="200" w:firstLine="480"/>
        <w:rPr>
          <w:rFonts w:ascii="宋体" w:cs="宋体"/>
          <w:kern w:val="0"/>
          <w:sz w:val="24"/>
          <w:szCs w:val="24"/>
        </w:rPr>
      </w:pPr>
      <w:r>
        <w:rPr>
          <w:rFonts w:ascii="宋体" w:cs="宋体" w:hint="eastAsia"/>
          <w:kern w:val="0"/>
          <w:sz w:val="24"/>
          <w:szCs w:val="24"/>
        </w:rPr>
        <w:t>本项目</w:t>
      </w:r>
      <w:r>
        <w:rPr>
          <w:rFonts w:ascii="宋体" w:cs="宋体" w:hint="eastAsia"/>
          <w:b/>
          <w:bCs/>
          <w:kern w:val="0"/>
          <w:sz w:val="24"/>
          <w:szCs w:val="24"/>
        </w:rPr>
        <w:t>不接受</w:t>
      </w:r>
      <w:r>
        <w:rPr>
          <w:rFonts w:ascii="宋体" w:cs="宋体" w:hint="eastAsia"/>
          <w:kern w:val="0"/>
          <w:sz w:val="24"/>
          <w:szCs w:val="24"/>
        </w:rPr>
        <w:t>联合体投标。</w:t>
      </w:r>
    </w:p>
    <w:p>
      <w:pPr>
        <w:spacing w:line="460" w:lineRule="exact"/>
        <w:ind w:firstLineChars="200" w:firstLine="480"/>
        <w:rPr>
          <w:rFonts w:ascii="宋体" w:cs="宋体"/>
          <w:kern w:val="0"/>
          <w:sz w:val="24"/>
          <w:szCs w:val="24"/>
        </w:rPr>
      </w:pPr>
      <w:r>
        <w:rPr>
          <w:rFonts w:ascii="宋体" w:cs="宋体" w:hint="eastAsia"/>
          <w:b/>
          <w:bCs/>
          <w:kern w:val="0"/>
          <w:sz w:val="24"/>
          <w:szCs w:val="24"/>
        </w:rPr>
        <w:t>二、申请人的资格要求：</w:t>
      </w:r>
    </w:p>
    <w:p>
      <w:pPr>
        <w:spacing w:line="460" w:lineRule="exact"/>
        <w:ind w:firstLineChars="200" w:firstLine="480"/>
        <w:rPr>
          <w:rFonts w:ascii="宋体" w:cs="宋体"/>
          <w:kern w:val="0"/>
          <w:sz w:val="24"/>
          <w:szCs w:val="24"/>
        </w:rPr>
      </w:pPr>
      <w:r>
        <w:rPr>
          <w:rFonts w:ascii="宋体" w:cs="宋体" w:hint="eastAsia"/>
          <w:kern w:val="0"/>
          <w:sz w:val="24"/>
          <w:szCs w:val="24"/>
        </w:rPr>
        <w:t>1.满足《中华人民共和国政府采购法》第二十二条规定；</w:t>
      </w:r>
    </w:p>
    <w:p>
      <w:pPr>
        <w:spacing w:line="460" w:lineRule="exact"/>
        <w:ind w:firstLineChars="200" w:firstLine="480"/>
        <w:rPr>
          <w:rFonts w:ascii="宋体" w:cs="宋体"/>
          <w:kern w:val="0"/>
          <w:sz w:val="24"/>
          <w:szCs w:val="24"/>
        </w:rPr>
      </w:pPr>
      <w:r>
        <w:rPr>
          <w:rFonts w:ascii="宋体" w:cs="宋体" w:hint="eastAsia"/>
          <w:kern w:val="0"/>
          <w:sz w:val="24"/>
          <w:szCs w:val="24"/>
        </w:rPr>
        <w:t xml:space="preserve">2.落实政府采购政策需满足的资格要求： </w:t>
      </w:r>
    </w:p>
    <w:p>
      <w:pPr>
        <w:spacing w:line="460" w:lineRule="exact"/>
        <w:ind w:firstLineChars="200" w:firstLine="480"/>
        <w:rPr>
          <w:rFonts w:ascii="宋体" w:cs="宋体"/>
          <w:kern w:val="0"/>
          <w:sz w:val="24"/>
          <w:szCs w:val="24"/>
        </w:rPr>
      </w:pPr>
      <w:r>
        <w:rPr>
          <w:rFonts w:ascii="宋体" w:cs="宋体" w:hint="eastAsia"/>
          <w:kern w:val="0"/>
          <w:sz w:val="24"/>
        </w:rPr>
        <w:sym w:font="Wingdings" w:char="FE"/>
      </w:r>
      <w:r>
        <w:rPr>
          <w:rFonts w:ascii="宋体" w:cs="宋体" w:hint="eastAsia"/>
          <w:kern w:val="0"/>
          <w:sz w:val="24"/>
        </w:rPr>
        <w:t xml:space="preserve"> </w:t>
      </w:r>
      <w:r>
        <w:rPr>
          <w:rFonts w:ascii="宋体" w:cs="宋体" w:hint="eastAsia"/>
          <w:kern w:val="0"/>
          <w:sz w:val="24"/>
          <w:szCs w:val="24"/>
        </w:rPr>
        <w:t>无；</w:t>
      </w:r>
    </w:p>
    <w:p>
      <w:pPr>
        <w:spacing w:line="460" w:lineRule="exact"/>
        <w:ind w:firstLineChars="200" w:firstLine="480"/>
        <w:rPr>
          <w:rFonts w:ascii="宋体" w:cs="宋体"/>
          <w:kern w:val="0"/>
          <w:sz w:val="24"/>
          <w:szCs w:val="24"/>
        </w:rPr>
      </w:pPr>
      <w:r>
        <w:rPr>
          <w:rFonts w:ascii="宋体" w:cs="宋体" w:hint="eastAsia"/>
          <w:kern w:val="0"/>
          <w:sz w:val="24"/>
        </w:rPr>
        <w:sym w:font="Wingdings" w:char="A8"/>
      </w:r>
      <w:r>
        <w:rPr>
          <w:rFonts w:ascii="宋体" w:cs="宋体" w:hint="eastAsia"/>
          <w:kern w:val="0"/>
          <w:sz w:val="24"/>
        </w:rPr>
        <w:t xml:space="preserve"> </w:t>
      </w:r>
      <w:r>
        <w:rPr>
          <w:rFonts w:ascii="宋体" w:cs="宋体" w:hint="eastAsia"/>
          <w:kern w:val="0"/>
          <w:sz w:val="24"/>
          <w:szCs w:val="24"/>
        </w:rPr>
        <w:t>专门面向中小企业</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货物全部由符合政策要求的中小企业制造，提供中小企业声明函；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货物全部由符合政策要求的小微企业制造，提供中小企业声明函；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服务全部由符合政策要求的中小企业承接，提供中小企业声明函；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服务全部由符合政策要求的小微企业承接，提供中小企业声明函；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工程全部由符合政策要求的中小企业承接，提供中小企业声明函；</w:t>
      </w:r>
    </w:p>
    <w:p>
      <w:pPr>
        <w:spacing w:line="460" w:lineRule="exact"/>
        <w:ind w:firstLineChars="300" w:firstLine="720"/>
        <w:rPr>
          <w:rFonts w:ascii="宋体" w:cs="宋体"/>
          <w:kern w:val="0"/>
          <w:sz w:val="24"/>
          <w:szCs w:val="24"/>
        </w:rPr>
      </w:pPr>
      <w:r>
        <w:rPr>
          <w:rFonts w:ascii="宋体" w:cs="宋体" w:hint="eastAsia"/>
          <w:kern w:val="0"/>
          <w:sz w:val="24"/>
        </w:rPr>
        <w:sym w:font="Wingdings" w:char="A8"/>
      </w:r>
      <w:r>
        <w:rPr>
          <w:rFonts w:ascii="宋体" w:cs="宋体" w:hint="eastAsia"/>
          <w:kern w:val="0"/>
          <w:sz w:val="24"/>
          <w:szCs w:val="24"/>
        </w:rPr>
        <w:t>工程全部由符合政策要求的小微企业承接，提供中小企业声明函；</w:t>
      </w:r>
    </w:p>
    <w:p>
      <w:pPr>
        <w:spacing w:line="460" w:lineRule="exact"/>
        <w:ind w:firstLine="482"/>
        <w:jc w:val="left"/>
        <w:rPr>
          <w:rFonts w:ascii="宋体" w:cs="宋体"/>
          <w:kern w:val="0"/>
          <w:sz w:val="24"/>
          <w:szCs w:val="24"/>
        </w:rPr>
      </w:pPr>
      <w:r>
        <w:rPr>
          <w:rFonts w:ascii="宋体" w:cs="宋体" w:hint="eastAsia"/>
          <w:kern w:val="0"/>
          <w:sz w:val="24"/>
          <w:szCs w:val="24"/>
        </w:rPr>
        <w:t>3.本项目的特定资格要求：</w:t>
      </w:r>
      <w:r>
        <w:rPr>
          <w:rFonts w:ascii="宋体" w:cs="宋体" w:hint="eastAsia"/>
          <w:b/>
          <w:kern w:val="0"/>
          <w:sz w:val="24"/>
        </w:rPr>
        <w:t>建筑机电安装工程专业承包二级及以上资质</w:t>
      </w:r>
      <w:r>
        <w:rPr>
          <w:rFonts w:ascii="宋体" w:cs="宋体" w:hint="eastAsia"/>
          <w:kern w:val="0"/>
          <w:sz w:val="24"/>
          <w:szCs w:val="24"/>
        </w:rPr>
        <w:t>。</w:t>
      </w:r>
    </w:p>
    <w:p>
      <w:pPr>
        <w:widowControl/>
        <w:spacing w:line="460" w:lineRule="exact"/>
        <w:ind w:right="60" w:firstLineChars="200" w:firstLine="480"/>
        <w:jc w:val="left"/>
        <w:rPr>
          <w:rFonts w:ascii="宋体" w:cs="宋体"/>
          <w:kern w:val="0"/>
          <w:sz w:val="24"/>
          <w:szCs w:val="24"/>
        </w:rPr>
      </w:pPr>
      <w:r>
        <w:rPr>
          <w:rFonts w:ascii="宋体" w:cs="宋体" w:hint="eastAsia"/>
          <w:kern w:val="0"/>
          <w:sz w:val="24"/>
          <w:szCs w:val="24"/>
        </w:rPr>
        <w:t>4.公益一类事业单位不属于政府购买服务的承接主体，不得参与承接政府购买服务。</w:t>
      </w:r>
    </w:p>
    <w:p>
      <w:pPr>
        <w:pStyle w:val="15"/>
        <w:spacing w:before="0" w:after="0" w:line="460" w:lineRule="exact"/>
        <w:ind w:firstLineChars="200" w:firstLine="480"/>
        <w:rPr>
          <w:rFonts w:cs="宋体"/>
          <w:b/>
          <w:bCs/>
          <w:kern w:val="0"/>
        </w:rPr>
      </w:pPr>
      <w:bookmarkStart w:id="6" w:name="_Toc35393792"/>
      <w:bookmarkStart w:id="7" w:name="_Toc35393623"/>
      <w:bookmarkStart w:id="8" w:name="_Toc28359081"/>
      <w:bookmarkStart w:id="9" w:name="_Toc28359004"/>
      <w:r>
        <w:rPr>
          <w:rFonts w:cs="宋体" w:hint="eastAsia"/>
          <w:b/>
          <w:bCs/>
          <w:kern w:val="0"/>
        </w:rPr>
        <w:t>三、获取招标文件</w:t>
      </w:r>
      <w:bookmarkEnd w:id="6"/>
      <w:bookmarkEnd w:id="7"/>
      <w:bookmarkEnd w:id="8"/>
      <w:bookmarkEnd w:id="9"/>
    </w:p>
    <w:p>
      <w:pPr>
        <w:spacing w:line="460" w:lineRule="exact"/>
        <w:ind w:firstLineChars="200" w:firstLine="480"/>
        <w:rPr>
          <w:rFonts w:ascii="宋体" w:cs="宋体"/>
          <w:kern w:val="0"/>
          <w:sz w:val="24"/>
          <w:szCs w:val="24"/>
        </w:rPr>
      </w:pPr>
      <w:r>
        <w:rPr>
          <w:rFonts w:ascii="宋体" w:cs="宋体" w:hint="eastAsia"/>
          <w:kern w:val="0"/>
          <w:sz w:val="24"/>
          <w:szCs w:val="24"/>
        </w:rPr>
        <w:t>1.时间：即日起至2025年10月09日，每天08:30至11:30，14:00至17:00（北京时间，法定节假日除外）。</w:t>
      </w:r>
    </w:p>
    <w:p>
      <w:pPr>
        <w:pStyle w:val="16"/>
        <w:spacing w:before="0" w:beforeAutospacing="0" w:after="0" w:afterAutospacing="0" w:line="460" w:lineRule="exact"/>
        <w:ind w:firstLineChars="200" w:firstLine="480"/>
      </w:pPr>
      <w:r>
        <w:rPr>
          <w:rFonts w:hint="eastAsia"/>
        </w:rPr>
        <w:t>2.地点：金华天逸工程咨询有限公司（金华市婺城区王下滩社区贤达路65号）获取或邮寄。 </w:t>
      </w:r>
    </w:p>
    <w:p>
      <w:pPr>
        <w:snapToGrid w:val="0"/>
        <w:spacing w:line="460" w:lineRule="exact"/>
        <w:ind w:firstLineChars="200" w:firstLine="480"/>
        <w:jc w:val="left"/>
        <w:rPr>
          <w:rFonts w:ascii="宋体" w:cs="宋体"/>
          <w:sz w:val="24"/>
          <w:szCs w:val="24"/>
        </w:rPr>
      </w:pPr>
      <w:r>
        <w:rPr>
          <w:rFonts w:ascii="宋体" w:cs="宋体" w:hint="eastAsia"/>
          <w:kern w:val="0"/>
          <w:sz w:val="24"/>
          <w:szCs w:val="24"/>
        </w:rPr>
        <w:t>3.方式：</w:t>
      </w:r>
      <w:r>
        <w:rPr>
          <w:rFonts w:ascii="宋体" w:cs="宋体" w:hint="eastAsia"/>
          <w:sz w:val="24"/>
          <w:szCs w:val="24"/>
        </w:rPr>
        <w:t>获取文件，并提供如下资料：</w:t>
      </w:r>
    </w:p>
    <w:p>
      <w:pPr>
        <w:widowControl/>
        <w:spacing w:line="460" w:lineRule="exact"/>
        <w:ind w:right="60" w:firstLineChars="200" w:firstLine="480"/>
        <w:jc w:val="left"/>
        <w:rPr>
          <w:rFonts w:ascii="宋体" w:cs="宋体"/>
          <w:snapToGrid w:val="0"/>
          <w:sz w:val="24"/>
        </w:rPr>
      </w:pPr>
      <w:r>
        <w:rPr>
          <w:rFonts w:ascii="宋体" w:cs="宋体" w:hint="eastAsia"/>
          <w:snapToGrid w:val="0"/>
          <w:sz w:val="24"/>
        </w:rPr>
        <w:t>（1）有效期内营业执照或事业单位法人证书；</w:t>
      </w:r>
    </w:p>
    <w:p>
      <w:pPr>
        <w:snapToGrid w:val="0"/>
        <w:spacing w:line="460" w:lineRule="exact"/>
        <w:ind w:firstLineChars="200" w:firstLine="480"/>
        <w:rPr>
          <w:rFonts w:ascii="宋体" w:cs="宋体"/>
          <w:snapToGrid w:val="0"/>
          <w:sz w:val="24"/>
        </w:rPr>
      </w:pPr>
      <w:r>
        <w:rPr>
          <w:rFonts w:ascii="宋体" w:cs="宋体" w:hint="eastAsia"/>
          <w:snapToGrid w:val="0"/>
          <w:sz w:val="24"/>
        </w:rPr>
        <w:t>（2）授权委托书（含法定代表人有效身份证、被授权人有效身份证，同时注明被授权人手机号、邮箱号）；</w:t>
      </w:r>
    </w:p>
    <w:p>
      <w:pPr>
        <w:snapToGrid w:val="0"/>
        <w:spacing w:line="460" w:lineRule="exact"/>
        <w:ind w:firstLineChars="200" w:firstLine="480"/>
        <w:rPr>
          <w:rFonts w:ascii="宋体" w:cs="宋体"/>
          <w:sz w:val="24"/>
        </w:rPr>
      </w:pPr>
      <w:r>
        <w:rPr>
          <w:rFonts w:ascii="宋体" w:cs="宋体" w:hint="eastAsia"/>
          <w:sz w:val="24"/>
        </w:rPr>
        <w:t>以上资料扫描件（或复印件）须盖章，可以通过电子邮箱发送至金华天逸工程咨询有限公司，电子邮箱：</w:t>
      </w:r>
      <w:r>
        <w:rPr>
          <w:rFonts w:ascii="宋体" w:cs="宋体" w:hint="eastAsia"/>
          <w:b/>
          <w:bCs/>
          <w:sz w:val="24"/>
          <w:u w:val="single"/>
        </w:rPr>
        <w:t>3802856328@qq.com</w:t>
      </w:r>
    </w:p>
    <w:p>
      <w:pPr>
        <w:spacing w:line="460" w:lineRule="exact"/>
        <w:ind w:firstLineChars="200" w:firstLine="480"/>
        <w:rPr>
          <w:rFonts w:ascii="宋体" w:cs="宋体"/>
          <w:b/>
          <w:bCs/>
          <w:kern w:val="0"/>
          <w:sz w:val="24"/>
          <w:szCs w:val="24"/>
        </w:rPr>
      </w:pPr>
      <w:r>
        <w:rPr>
          <w:rFonts w:ascii="宋体" w:cs="宋体" w:hint="eastAsia"/>
          <w:kern w:val="0"/>
          <w:sz w:val="24"/>
          <w:szCs w:val="24"/>
        </w:rPr>
        <w:t>4.售价：500元。</w:t>
      </w:r>
      <w:bookmarkStart w:id="10" w:name="_Toc28359005"/>
      <w:bookmarkStart w:id="11" w:name="_Toc28359082"/>
      <w:bookmarkStart w:id="12" w:name="_Toc35393624"/>
      <w:bookmarkStart w:id="13" w:name="_Toc35393793"/>
      <w:r>
        <w:rPr>
          <w:rFonts w:ascii="宋体" w:cs="宋体" w:hint="eastAsia"/>
          <w:sz w:val="24"/>
          <w:szCs w:val="24"/>
        </w:rPr>
        <w:t>招标文件费用可通过电汇、转账方式交至以下银行账号：550007408400015，收款单位（户名）：金华天逸工程咨询有限公司，开户银行：台州银行股份有限公司金华分行。</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四、提交投标文件</w:t>
      </w:r>
      <w:bookmarkEnd w:id="10"/>
      <w:bookmarkEnd w:id="11"/>
      <w:r>
        <w:rPr>
          <w:rFonts w:ascii="宋体" w:cs="宋体" w:hint="eastAsia"/>
          <w:b/>
          <w:bCs/>
          <w:kern w:val="0"/>
          <w:sz w:val="24"/>
          <w:szCs w:val="24"/>
        </w:rPr>
        <w:t>截止时间、开标时间和地点</w:t>
      </w:r>
      <w:bookmarkEnd w:id="12"/>
      <w:bookmarkEnd w:id="13"/>
    </w:p>
    <w:p>
      <w:pPr>
        <w:pStyle w:val="16"/>
        <w:spacing w:before="0" w:beforeAutospacing="0" w:after="0" w:afterAutospacing="0" w:line="460" w:lineRule="exact"/>
        <w:ind w:firstLineChars="200" w:firstLine="480"/>
        <w:jc w:val="both"/>
        <w:rPr>
          <w:b/>
          <w:bCs/>
        </w:rPr>
      </w:pPr>
      <w:bookmarkStart w:id="14" w:name="_Toc28359084"/>
      <w:bookmarkStart w:id="15" w:name="_Toc35393625"/>
      <w:bookmarkStart w:id="16" w:name="_Toc35393794"/>
      <w:bookmarkStart w:id="17" w:name="_Toc28359007"/>
      <w:r>
        <w:rPr>
          <w:rFonts w:hint="eastAsia"/>
          <w:b/>
          <w:bCs/>
        </w:rPr>
        <w:t>提交投标文件截止时间：2025年10月10日09:</w:t>
      </w:r>
      <w:r>
        <w:rPr>
          <w:b/>
          <w:bCs/>
        </w:rPr>
        <w:t>3</w:t>
      </w:r>
      <w:r>
        <w:rPr>
          <w:rFonts w:hint="eastAsia"/>
          <w:b/>
          <w:bCs/>
        </w:rPr>
        <w:t>0（北京时间）</w:t>
      </w:r>
    </w:p>
    <w:p>
      <w:pPr>
        <w:pStyle w:val="16"/>
        <w:spacing w:before="0" w:beforeAutospacing="0" w:after="0" w:afterAutospacing="0" w:line="460" w:lineRule="exact"/>
        <w:ind w:firstLineChars="200" w:firstLine="480"/>
        <w:jc w:val="both"/>
        <w:rPr>
          <w:b/>
          <w:bCs/>
        </w:rPr>
      </w:pPr>
      <w:r>
        <w:rPr>
          <w:rFonts w:hint="eastAsia"/>
          <w:b/>
          <w:bCs/>
        </w:rPr>
        <w:t>投标地点：金华天逸工程咨询有限公司（金华市婺城区王下滩社区贤达路65号）1楼开标室。</w:t>
      </w:r>
    </w:p>
    <w:p>
      <w:pPr>
        <w:pStyle w:val="16"/>
        <w:spacing w:before="0" w:beforeAutospacing="0" w:after="0" w:afterAutospacing="0" w:line="460" w:lineRule="exact"/>
        <w:ind w:firstLineChars="200" w:firstLine="480"/>
        <w:jc w:val="both"/>
        <w:rPr>
          <w:b/>
          <w:bCs/>
        </w:rPr>
      </w:pPr>
      <w:r>
        <w:rPr>
          <w:rFonts w:hint="eastAsia"/>
          <w:b/>
          <w:bCs/>
        </w:rPr>
        <w:t>开标时间：2025年10月10日09:</w:t>
      </w:r>
      <w:r>
        <w:rPr>
          <w:b/>
          <w:bCs/>
        </w:rPr>
        <w:t>3</w:t>
      </w:r>
      <w:r>
        <w:rPr>
          <w:rFonts w:hint="eastAsia"/>
          <w:b/>
          <w:bCs/>
        </w:rPr>
        <w:t>0（北京时间） </w:t>
      </w:r>
    </w:p>
    <w:p>
      <w:pPr>
        <w:pStyle w:val="16"/>
        <w:spacing w:before="0" w:beforeAutospacing="0" w:after="0" w:afterAutospacing="0" w:line="460" w:lineRule="exact"/>
        <w:ind w:firstLineChars="200" w:firstLine="480"/>
        <w:jc w:val="both"/>
        <w:rPr>
          <w:b/>
          <w:bCs/>
        </w:rPr>
      </w:pPr>
      <w:r>
        <w:rPr>
          <w:rFonts w:hint="eastAsia"/>
          <w:b/>
          <w:bCs/>
        </w:rPr>
        <w:t>开标地点：金华天逸工程咨询有限公司（金华市婺城区王下滩社区贤达路65号）1楼开标室。</w:t>
      </w:r>
    </w:p>
    <w:p>
      <w:pPr>
        <w:snapToGrid w:val="0"/>
        <w:spacing w:line="460" w:lineRule="exact"/>
        <w:ind w:firstLineChars="200" w:firstLine="480"/>
        <w:rPr>
          <w:b/>
        </w:rPr>
      </w:pPr>
      <w:r>
        <w:rPr>
          <w:rFonts w:ascii="宋体" w:cs="宋体" w:hint="eastAsia"/>
          <w:b/>
          <w:sz w:val="24"/>
        </w:rPr>
        <w:t>五、公告网址：</w:t>
      </w:r>
      <w:r>
        <w:rPr>
          <w:rFonts w:ascii="宋体" w:cs="宋体" w:hint="eastAsia"/>
          <w:b/>
          <w:sz w:val="24"/>
          <w:szCs w:val="24"/>
        </w:rPr>
        <w:t>中国政府采购网（http://www.ccgp.gov.cn/）</w:t>
      </w:r>
    </w:p>
    <w:p>
      <w:pPr>
        <w:snapToGrid w:val="0"/>
        <w:spacing w:line="460" w:lineRule="exact"/>
        <w:ind w:firstLineChars="900" w:firstLine="2160"/>
        <w:rPr>
          <w:rFonts w:ascii="宋体" w:cs="宋体"/>
          <w:b/>
          <w:sz w:val="24"/>
        </w:rPr>
      </w:pPr>
      <w:r>
        <w:rPr>
          <w:rFonts w:ascii="宋体" w:cs="宋体" w:hint="eastAsia"/>
          <w:b/>
          <w:sz w:val="24"/>
        </w:rPr>
        <w:t>杭州海关（http://hangzhou.customs.gov.cn/）</w:t>
      </w:r>
    </w:p>
    <w:p>
      <w:pPr>
        <w:spacing w:line="460" w:lineRule="exact"/>
        <w:ind w:firstLineChars="200" w:firstLine="480"/>
        <w:rPr>
          <w:rFonts w:ascii="宋体" w:cs="宋体"/>
          <w:b/>
          <w:bCs/>
          <w:kern w:val="0"/>
          <w:sz w:val="24"/>
          <w:szCs w:val="24"/>
        </w:rPr>
      </w:pPr>
      <w:r>
        <w:rPr>
          <w:rFonts w:ascii="宋体" w:cs="宋体" w:hint="eastAsia"/>
          <w:b/>
          <w:bCs/>
          <w:kern w:val="0"/>
          <w:sz w:val="24"/>
          <w:szCs w:val="24"/>
        </w:rPr>
        <w:t>六、公告期限</w:t>
      </w:r>
      <w:bookmarkEnd w:id="14"/>
      <w:bookmarkEnd w:id="15"/>
      <w:bookmarkEnd w:id="16"/>
      <w:bookmarkEnd w:id="17"/>
    </w:p>
    <w:p>
      <w:pPr>
        <w:spacing w:line="460" w:lineRule="exact"/>
        <w:ind w:firstLineChars="200" w:firstLine="480"/>
        <w:rPr>
          <w:rFonts w:ascii="宋体" w:cs="宋体"/>
          <w:kern w:val="0"/>
          <w:sz w:val="24"/>
          <w:szCs w:val="24"/>
        </w:rPr>
      </w:pPr>
      <w:r>
        <w:rPr>
          <w:rFonts w:ascii="宋体" w:cs="宋体" w:hint="eastAsia"/>
          <w:kern w:val="0"/>
          <w:sz w:val="24"/>
          <w:szCs w:val="24"/>
        </w:rPr>
        <w:t>自本公告发布之日起5个工作日。</w:t>
      </w:r>
    </w:p>
    <w:p>
      <w:pPr>
        <w:spacing w:line="460" w:lineRule="exact"/>
        <w:ind w:firstLineChars="200" w:firstLine="480"/>
        <w:rPr>
          <w:rFonts w:ascii="宋体" w:cs="宋体"/>
          <w:b/>
          <w:bCs/>
          <w:kern w:val="0"/>
          <w:sz w:val="24"/>
          <w:szCs w:val="24"/>
        </w:rPr>
      </w:pPr>
      <w:bookmarkStart w:id="18" w:name="_Toc35393626"/>
      <w:bookmarkStart w:id="19" w:name="_Toc35393795"/>
      <w:r>
        <w:rPr>
          <w:rFonts w:ascii="宋体" w:cs="宋体" w:hint="eastAsia"/>
          <w:b/>
          <w:bCs/>
          <w:kern w:val="0"/>
          <w:sz w:val="24"/>
          <w:szCs w:val="24"/>
        </w:rPr>
        <w:t>七、其他补充事宜</w:t>
      </w:r>
      <w:bookmarkEnd w:id="18"/>
      <w:bookmarkEnd w:id="19"/>
    </w:p>
    <w:p>
      <w:pPr>
        <w:pStyle w:val="16"/>
        <w:spacing w:before="0" w:beforeAutospacing="0" w:after="0" w:afterAutospacing="0" w:line="460" w:lineRule="exact"/>
        <w:ind w:firstLineChars="200" w:firstLine="480"/>
        <w:jc w:val="both"/>
      </w:pPr>
      <w:r>
        <w:rPr>
          <w:rFonts w:hint="eastAsia"/>
        </w:rPr>
        <w:t>1.投标人认为采购文件使自己的权益受到损害的，可以自获取采购文件之日或者采购文件公告期限届满之日（公告期限届满后获取采购文件的，以公告期限届满之日为准）起7个工作日内，以书面形式向采购人和采购代理机构提出质疑。质疑中标人对采购人、采购代理机构的答复不满意或者采购人、采购代理机构未在规定的时间内作出答复的，可以在答复期满后十五个工作日内向同级政府采购监督管理部门投诉。</w:t>
      </w:r>
    </w:p>
    <w:p>
      <w:pPr>
        <w:pStyle w:val="16"/>
        <w:widowControl w:val="0"/>
        <w:spacing w:before="0" w:beforeAutospacing="0" w:after="0" w:afterAutospacing="0" w:line="460" w:lineRule="exact"/>
        <w:ind w:firstLineChars="200" w:firstLine="480"/>
      </w:pPr>
      <w:r>
        <w:rPr>
          <w:rFonts w:hint="eastAsia"/>
        </w:rPr>
        <w:t>2.其他事项：（1）投标人必须依法获取招标文件，未依法获取招标文件的，不得对招标文件提起质疑投诉。同时请投标人在参加投标前随时关注项目的更正公告情况。（2）采购代理机构将拒绝接受未报名人的投标文件。</w:t>
      </w:r>
    </w:p>
    <w:p>
      <w:pPr>
        <w:spacing w:line="460" w:lineRule="exact"/>
        <w:ind w:firstLineChars="200" w:firstLine="480"/>
        <w:rPr>
          <w:rFonts w:ascii="宋体" w:cs="宋体"/>
          <w:b/>
          <w:bCs/>
          <w:kern w:val="0"/>
          <w:sz w:val="24"/>
          <w:szCs w:val="24"/>
        </w:rPr>
      </w:pPr>
      <w:bookmarkStart w:id="20" w:name="_Toc28359008"/>
      <w:bookmarkStart w:id="21" w:name="_Toc28359085"/>
      <w:bookmarkStart w:id="22" w:name="_Toc35393796"/>
      <w:bookmarkStart w:id="23" w:name="_Toc35393627"/>
      <w:r>
        <w:rPr>
          <w:rFonts w:ascii="宋体" w:cs="宋体" w:hint="eastAsia"/>
          <w:b/>
          <w:bCs/>
          <w:kern w:val="0"/>
          <w:sz w:val="24"/>
          <w:szCs w:val="24"/>
        </w:rPr>
        <w:t>八、对本次招标提出询问，请按以下方式联系。</w:t>
      </w:r>
      <w:bookmarkEnd w:id="20"/>
      <w:bookmarkEnd w:id="21"/>
      <w:bookmarkEnd w:id="22"/>
      <w:bookmarkEnd w:id="23"/>
    </w:p>
    <w:p>
      <w:pPr>
        <w:pStyle w:val="16"/>
        <w:spacing w:before="0" w:beforeAutospacing="0" w:after="0" w:afterAutospacing="0" w:line="460" w:lineRule="exact"/>
        <w:ind w:firstLineChars="200" w:firstLine="480"/>
        <w:jc w:val="both"/>
      </w:pPr>
      <w:r>
        <w:rPr>
          <w:rFonts w:hint="eastAsia"/>
        </w:rPr>
        <w:t>1.采购人信息</w:t>
      </w:r>
    </w:p>
    <w:p>
      <w:pPr>
        <w:pStyle w:val="16"/>
        <w:spacing w:before="0" w:beforeAutospacing="0" w:after="0" w:afterAutospacing="0" w:line="460" w:lineRule="exact"/>
        <w:ind w:firstLineChars="200" w:firstLine="480"/>
        <w:jc w:val="both"/>
      </w:pPr>
      <w:r>
        <w:rPr>
          <w:rFonts w:hint="eastAsia"/>
        </w:rPr>
        <w:t>名 称：金华海关</w:t>
      </w:r>
    </w:p>
    <w:p>
      <w:pPr>
        <w:pStyle w:val="16"/>
        <w:spacing w:before="0" w:beforeAutospacing="0" w:after="0" w:afterAutospacing="0" w:line="460" w:lineRule="exact"/>
        <w:ind w:firstLineChars="200" w:firstLine="480"/>
        <w:jc w:val="both"/>
        <w:rPr>
          <w:b/>
        </w:rPr>
      </w:pPr>
      <w:r>
        <w:rPr>
          <w:rFonts w:hint="eastAsia"/>
        </w:rPr>
        <w:t>地 址：</w:t>
      </w:r>
      <w:r>
        <w:rPr>
          <w:rFonts w:hint="eastAsia"/>
          <w:bCs/>
        </w:rPr>
        <w:t>金华市李渔东路1159号</w:t>
      </w:r>
    </w:p>
    <w:p>
      <w:pPr>
        <w:pStyle w:val="16"/>
        <w:spacing w:before="0" w:beforeAutospacing="0" w:after="0" w:afterAutospacing="0" w:line="460" w:lineRule="exact"/>
        <w:ind w:firstLineChars="200" w:firstLine="480"/>
        <w:jc w:val="both"/>
      </w:pPr>
      <w:r>
        <w:rPr>
          <w:rFonts w:hint="eastAsia"/>
        </w:rPr>
        <w:t>项目联系人：张先生</w:t>
      </w:r>
    </w:p>
    <w:p>
      <w:pPr>
        <w:pStyle w:val="16"/>
        <w:spacing w:before="0" w:beforeAutospacing="0" w:after="0" w:afterAutospacing="0" w:line="460" w:lineRule="exact"/>
        <w:ind w:firstLineChars="200" w:firstLine="480"/>
        <w:jc w:val="both"/>
      </w:pPr>
      <w:r>
        <w:rPr>
          <w:rFonts w:hint="eastAsia"/>
        </w:rPr>
        <w:t>项目联系方式：0579-81361102</w:t>
      </w:r>
    </w:p>
    <w:p>
      <w:pPr>
        <w:pStyle w:val="16"/>
        <w:spacing w:before="0" w:beforeAutospacing="0" w:after="0" w:afterAutospacing="0" w:line="460" w:lineRule="exact"/>
        <w:ind w:firstLineChars="200" w:firstLine="480"/>
        <w:jc w:val="both"/>
      </w:pPr>
      <w:r>
        <w:rPr>
          <w:rFonts w:hint="eastAsia"/>
        </w:rPr>
        <w:t>2.采购代理机构信息</w:t>
      </w:r>
    </w:p>
    <w:p>
      <w:pPr>
        <w:pStyle w:val="16"/>
        <w:spacing w:before="0" w:beforeAutospacing="0" w:after="0" w:afterAutospacing="0" w:line="460" w:lineRule="exact"/>
        <w:ind w:firstLineChars="200" w:firstLine="480"/>
        <w:jc w:val="both"/>
      </w:pPr>
      <w:r>
        <w:rPr>
          <w:rFonts w:hint="eastAsia"/>
        </w:rPr>
        <w:t>名 称：金华天逸工程咨询有限公司</w:t>
      </w:r>
    </w:p>
    <w:p>
      <w:pPr>
        <w:pStyle w:val="16"/>
        <w:spacing w:before="0" w:beforeAutospacing="0" w:after="0" w:afterAutospacing="0" w:line="460" w:lineRule="exact"/>
        <w:ind w:firstLineChars="200" w:firstLine="480"/>
        <w:jc w:val="both"/>
      </w:pPr>
      <w:r>
        <w:rPr>
          <w:rFonts w:hint="eastAsia"/>
        </w:rPr>
        <w:t>地 址：金华市婺城区王下滩社区贤达路65号</w:t>
      </w:r>
    </w:p>
    <w:p>
      <w:pPr>
        <w:pStyle w:val="16"/>
        <w:spacing w:before="0" w:beforeAutospacing="0" w:after="0" w:afterAutospacing="0" w:line="460" w:lineRule="exact"/>
        <w:ind w:firstLineChars="200" w:firstLine="480"/>
        <w:jc w:val="both"/>
      </w:pPr>
      <w:r>
        <w:rPr>
          <w:rFonts w:hint="eastAsia"/>
        </w:rPr>
        <w:t>项目联系人（询问）：周 敏</w:t>
      </w:r>
    </w:p>
    <w:p>
      <w:pPr>
        <w:spacing w:line="460" w:lineRule="exact"/>
        <w:ind w:firstLineChars="200" w:firstLine="480"/>
        <w:rPr>
          <w:rFonts w:ascii="宋体" w:cs="宋体"/>
          <w:sz w:val="24"/>
          <w:szCs w:val="24"/>
        </w:rPr>
      </w:pPr>
      <w:r>
        <w:rPr>
          <w:rFonts w:ascii="宋体" w:cs="宋体" w:hint="eastAsia"/>
          <w:sz w:val="24"/>
          <w:szCs w:val="24"/>
        </w:rPr>
        <w:t>项目联系电话：18757918567</w:t>
      </w:r>
    </w:p>
    <w:p>
      <w:pPr>
        <w:spacing w:line="460" w:lineRule="exact"/>
        <w:ind w:firstLineChars="200" w:firstLine="480"/>
        <w:rPr>
          <w:rFonts w:ascii="宋体" w:cs="宋体"/>
          <w:sz w:val="24"/>
          <w:szCs w:val="24"/>
        </w:rPr>
      </w:pPr>
      <w:r>
        <w:rPr>
          <w:rFonts w:ascii="宋体" w:cs="宋体" w:hint="eastAsia"/>
          <w:sz w:val="24"/>
          <w:szCs w:val="24"/>
        </w:rPr>
        <w:t>报名联系人：俞女士</w:t>
      </w:r>
    </w:p>
    <w:p>
      <w:pPr>
        <w:spacing w:line="460" w:lineRule="exact"/>
        <w:ind w:firstLineChars="200" w:firstLine="480"/>
      </w:pPr>
      <w:r>
        <w:rPr>
          <w:rFonts w:ascii="宋体" w:cs="宋体" w:hint="eastAsia"/>
          <w:sz w:val="24"/>
          <w:szCs w:val="24"/>
        </w:rPr>
        <w:t>联系电话：0579-82470908</w:t>
      </w:r>
    </w:p>
    <w:p>
      <w:pPr>
        <w:pStyle w:val="16"/>
        <w:spacing w:before="0" w:beforeAutospacing="0" w:after="0" w:afterAutospacing="0" w:line="460" w:lineRule="exact"/>
        <w:ind w:firstLineChars="200" w:firstLine="480"/>
        <w:jc w:val="both"/>
      </w:pPr>
      <w:r>
        <w:rPr>
          <w:rFonts w:hint="eastAsia"/>
        </w:rPr>
        <w:t>3.投诉受理</w:t>
      </w:r>
    </w:p>
    <w:p>
      <w:pPr>
        <w:pStyle w:val="16"/>
        <w:spacing w:before="0" w:beforeAutospacing="0" w:after="0" w:afterAutospacing="0" w:line="460" w:lineRule="exact"/>
        <w:ind w:firstLineChars="200" w:firstLine="480"/>
        <w:jc w:val="both"/>
      </w:pPr>
      <w:r>
        <w:rPr>
          <w:rFonts w:hint="eastAsia"/>
        </w:rPr>
        <w:t>联系人：曹先生</w:t>
      </w:r>
    </w:p>
    <w:p>
      <w:pPr>
        <w:pStyle w:val="16"/>
        <w:spacing w:before="0" w:beforeAutospacing="0" w:after="0" w:afterAutospacing="0" w:line="460" w:lineRule="exact"/>
        <w:ind w:firstLineChars="200" w:firstLine="480"/>
        <w:jc w:val="both"/>
      </w:pPr>
      <w:r>
        <w:rPr>
          <w:rFonts w:hint="eastAsia"/>
        </w:rPr>
        <w:t>联系电话：0579-82179109</w:t>
      </w:r>
    </w:p>
    <w:sectPr>
      <w:pgSz w:w="11906" w:h="16838"/>
      <w:pgMar w:top="1440" w:right="1800" w:bottom="1440" w:left="1800" w:header="851" w:footer="992" w:gutter="0"/>
      <w:docGrid w:type="lines" w:linePitch="312" w:charSpace="0"/>
    </w:sectPr>
  </w:body>
</w:document>
</file>

<file path=word/fontTable.xml><?xml version="1.0" encoding="utf-8"?>
<w:fonts xmlns:w="http://schemas.openxmlformats.org/wordprocessingml/2006/main" xmlns:r="http://schemas.openxmlformats.org/officeDocument/2006/relationships">
  <w:font w:name="宋体">
    <w:panose1 w:val="02010600030101010101"/>
    <w:charset w:val="86"/>
    <w:family w:val="auto"/>
    <w:pitch w:val="variable"/>
    <w:sig w:usb0="00000003" w:usb1="288F0000" w:usb2="00000006" w:usb3="00000000" w:csb0="00040001" w:csb1="00000000"/>
  </w:font>
  <w:font w:name="Wingdings">
    <w:panose1 w:val="05000000000000000000"/>
    <w:charset w:val="02"/>
    <w:family w:val="auto"/>
    <w:pitch w:val="variable"/>
    <w:sig w:usb0="00000000" w:usb1="00000000" w:usb2="00000000" w:usb3="00000000" w:csb0="80000000" w:csb1="00000000"/>
  </w:font>
  <w:font w:name="Times New Roman">
    <w:panose1 w:val="02020603050405020304"/>
    <w:charset w:val="00"/>
    <w:family w:val="roman"/>
    <w:pitch w:val="variable"/>
    <w:sig w:usb0="20007A87" w:usb1="80000000" w:usb2="00000008" w:usb3="00000000" w:csb0="000001FF" w:csb1="00000000"/>
  </w:font>
  <w:font w:name="Arial">
    <w:panose1 w:val="020B0604020202020204"/>
    <w:charset w:val="01"/>
    <w:family w:val="swiss"/>
    <w:pitch w:val="variable"/>
    <w:sig w:usb0="E0002AFF" w:usb1="C0007843" w:usb2="00000009" w:usb3="00000000" w:csb0="400001FF" w:csb1="FFFF0000"/>
  </w:font>
  <w:font w:name="黑体">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00002FF" w:usb1="4000ACFF" w:usb2="00000001" w:usb3="00000000" w:csb0="2000019F" w:csb1="00000000"/>
  </w:font>
</w:fonts>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94DA4826"/>
    <w:multiLevelType w:val="multilevel"/>
    <w:tmpl w:val="0FB9AF90"/>
    <w:lvl w:ilvl="0">
      <w:start w:val="1"/>
      <w:numFmt w:val="chineseCounting"/>
      <w:lvlRestart w:val="0"/>
      <w:pStyle w:val="1"/>
      <w:suff w:val="nothing"/>
      <w:lvlText w:val="第%1章 "/>
      <w:lvlJc w:val="left"/>
      <w:pPr>
        <w:ind w:left="432" w:hanging="432"/>
      </w:pPr>
      <w:rPr>
        <w:rFonts w:hint="eastAsia"/>
      </w:rPr>
    </w:lvl>
    <w:lvl w:ilvl="1">
      <w:start w:val="1"/>
      <w:numFmt w:val="decimal"/>
      <w:pStyle w:val="2"/>
      <w:isLgl/>
      <w:lvlText w:val="%1.%2."/>
      <w:lvlJc w:val="left"/>
      <w:pPr>
        <w:ind w:left="575" w:hanging="575"/>
      </w:pPr>
      <w:rPr>
        <w:rFonts w:hint="eastAsia"/>
      </w:rPr>
    </w:lvl>
    <w:lvl w:ilvl="2">
      <w:start w:val="1"/>
      <w:numFmt w:val="decimal"/>
      <w:pStyle w:val="3"/>
      <w:isLgl/>
      <w:lvlText w:val="%1.%2.%3."/>
      <w:lvlJc w:val="left"/>
      <w:pPr>
        <w:ind w:left="720" w:hanging="720"/>
      </w:pPr>
      <w:rPr>
        <w:rFonts w:hint="eastAsia"/>
      </w:rPr>
    </w:lvl>
    <w:lvl w:ilvl="3">
      <w:start w:val="1"/>
      <w:numFmt w:val="decimal"/>
      <w:pStyle w:val="4"/>
      <w:isLgl/>
      <w:lvlText w:val="%1.%2.%3.%4."/>
      <w:lvlJc w:val="left"/>
      <w:pPr>
        <w:ind w:left="864" w:hanging="864"/>
      </w:pPr>
      <w:rPr>
        <w:rFonts w:hint="eastAsia"/>
      </w:rPr>
    </w:lvl>
    <w:lvl w:ilvl="4">
      <w:start w:val="1"/>
      <w:numFmt w:val="decimal"/>
      <w:pStyle w:val="5"/>
      <w:isLgl/>
      <w:lvlText w:val="%1.%2.%3.%4.%5."/>
      <w:lvlJc w:val="left"/>
      <w:pPr>
        <w:ind w:left="1008" w:hanging="1008"/>
      </w:pPr>
      <w:rPr>
        <w:rFonts w:hint="eastAsia"/>
      </w:rPr>
    </w:lvl>
    <w:lvl w:ilvl="5">
      <w:start w:val="1"/>
      <w:numFmt w:val="decimal"/>
      <w:pStyle w:val="6"/>
      <w:isLgl/>
      <w:lvlText w:val="%1.%2.%3.%4.%5.%6."/>
      <w:lvlJc w:val="left"/>
      <w:pPr>
        <w:ind w:left="1151" w:hanging="1151"/>
      </w:pPr>
      <w:rPr>
        <w:rFonts w:hint="eastAsia"/>
      </w:rPr>
    </w:lvl>
    <w:lvl w:ilvl="6">
      <w:start w:val="1"/>
      <w:numFmt w:val="decimal"/>
      <w:pStyle w:val="7"/>
      <w:isLgl/>
      <w:lvlText w:val="%1.%2.%3.%4.%5.%6.%7."/>
      <w:lvlJc w:val="left"/>
      <w:pPr>
        <w:ind w:left="1296" w:hanging="1296"/>
      </w:pPr>
      <w:rPr>
        <w:rFonts w:hint="eastAsia"/>
      </w:rPr>
    </w:lvl>
    <w:lvl w:ilvl="7">
      <w:start w:val="1"/>
      <w:numFmt w:val="decimal"/>
      <w:pStyle w:val="8"/>
      <w:isLgl/>
      <w:lvlText w:val="%1.%2.%3.%4.%5.%6.%7.%8."/>
      <w:lvlJc w:val="left"/>
      <w:pPr>
        <w:ind w:left="1440" w:hanging="1440"/>
      </w:pPr>
      <w:rPr>
        <w:rFonts w:hint="eastAsia"/>
      </w:rPr>
    </w:lvl>
    <w:lvl w:ilvl="8">
      <w:start w:val="1"/>
      <w:numFmt w:val="decimal"/>
      <w:pStyle w:val="9"/>
      <w:isLgl/>
      <w:lvlText w:val="%1.%2.%3.%4.%5.%6.%7.%8.%9."/>
      <w:lvlJc w:val="left"/>
      <w:pPr>
        <w:ind w:left="1583" w:hanging="1583"/>
      </w:pPr>
      <w:rPr>
        <w:rFonts w:hint="eastAsia"/>
      </w:rPr>
    </w:lvl>
  </w:abstractNum>
  <w:num w:numId="1">
    <w:abstractNumId w:val="0"/>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25"/>
  <w:doNotDisplayPageBoundaries/>
  <w:bordersDoNotSurroundHeader/>
  <w:bordersDoNotSurroundFooter/>
  <w:trackRevision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ulTrailSpace/>
    <w:doNotExpandShiftReturn/>
    <w:adjustLineHeightInTable/>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widowControl w:val="0"/>
      <w:jc w:val="both"/>
    </w:pPr>
    <w:rPr>
      <w:rFonts w:ascii="Times New Roman" w:eastAsia="宋体" w:cs="Times New Roman" w:hAnsi="Times New Roman"/>
      <w:kern w:val="2"/>
      <w:sz w:val="21"/>
      <w:szCs w:val="22"/>
      <w:lang w:val="en-US" w:eastAsia="zh-CN" w:bidi="ar-SA"/>
    </w:rPr>
  </w:style>
  <w:style w:type="paragraph" w:styleId="1">
    <w:name w:val="heading 1"/>
    <w:basedOn w:val="0"/>
    <w:next w:val="0"/>
    <w:pPr>
      <w:keepNext/>
      <w:keepLines/>
      <w:widowControl w:val="0"/>
      <w:numPr>
        <w:ilvl w:val="0"/>
        <w:numId w:val="1"/>
      </w:numPr>
      <w:spacing w:before="340" w:after="330" w:line="576" w:lineRule="auto"/>
      <w:outlineLvl w:val="0"/>
    </w:pPr>
    <w:rPr>
      <w:b/>
      <w:kern w:val="44"/>
      <w:sz w:val="44"/>
    </w:rPr>
  </w:style>
  <w:style w:type="paragraph" w:styleId="2">
    <w:name w:val="heading 2"/>
    <w:basedOn w:val="0"/>
    <w:next w:val="0"/>
    <w:pPr>
      <w:keepNext/>
      <w:keepLines/>
      <w:widowControl w:val="0"/>
      <w:numPr>
        <w:ilvl w:val="1"/>
        <w:numId w:val="1"/>
      </w:numPr>
      <w:spacing w:before="260" w:after="260" w:line="413" w:lineRule="auto"/>
      <w:outlineLvl w:val="1"/>
    </w:pPr>
    <w:rPr>
      <w:rFonts w:ascii="Arial" w:eastAsia="黑体" w:hAnsi="Arial"/>
      <w:b/>
      <w:sz w:val="32"/>
    </w:rPr>
  </w:style>
  <w:style w:type="paragraph" w:styleId="3">
    <w:name w:val="heading 3"/>
    <w:basedOn w:val="0"/>
    <w:next w:val="0"/>
    <w:pPr>
      <w:keepNext/>
      <w:keepLines/>
      <w:widowControl w:val="0"/>
      <w:numPr>
        <w:ilvl w:val="2"/>
        <w:numId w:val="1"/>
      </w:numPr>
      <w:spacing w:before="260" w:after="260" w:line="413" w:lineRule="auto"/>
      <w:jc w:val="center"/>
      <w:outlineLvl w:val="2"/>
    </w:pPr>
    <w:rPr>
      <w:rFonts w:ascii="Calibri" w:hAnsi="Calibri"/>
      <w:b/>
      <w:sz w:val="32"/>
    </w:rPr>
  </w:style>
  <w:style w:type="paragraph" w:styleId="4">
    <w:name w:val="heading 4"/>
    <w:basedOn w:val="0"/>
    <w:next w:val="0"/>
    <w:pPr>
      <w:keepNext/>
      <w:keepLines/>
      <w:widowControl w:val="0"/>
      <w:numPr>
        <w:ilvl w:val="3"/>
        <w:numId w:val="1"/>
      </w:numPr>
      <w:spacing w:before="280" w:after="290" w:line="372" w:lineRule="auto"/>
      <w:outlineLvl w:val="3"/>
    </w:pPr>
    <w:rPr>
      <w:rFonts w:ascii="Arial" w:eastAsia="黑体" w:hAnsi="Arial"/>
      <w:b/>
      <w:sz w:val="28"/>
    </w:rPr>
  </w:style>
  <w:style w:type="paragraph" w:styleId="5">
    <w:name w:val="heading 5"/>
    <w:basedOn w:val="0"/>
    <w:next w:val="0"/>
    <w:pPr>
      <w:keepNext/>
      <w:keepLines/>
      <w:widowControl w:val="0"/>
      <w:numPr>
        <w:ilvl w:val="4"/>
        <w:numId w:val="1"/>
      </w:numPr>
      <w:spacing w:before="280" w:after="290" w:line="372" w:lineRule="auto"/>
      <w:outlineLvl w:val="4"/>
    </w:pPr>
    <w:rPr>
      <w:b/>
      <w:sz w:val="28"/>
    </w:rPr>
  </w:style>
  <w:style w:type="paragraph" w:styleId="6">
    <w:name w:val="heading 6"/>
    <w:basedOn w:val="0"/>
    <w:next w:val="0"/>
    <w:pPr>
      <w:keepNext/>
      <w:keepLines/>
      <w:widowControl w:val="0"/>
      <w:numPr>
        <w:ilvl w:val="5"/>
        <w:numId w:val="1"/>
      </w:numPr>
      <w:spacing w:before="240" w:after="64" w:line="317" w:lineRule="auto"/>
      <w:outlineLvl w:val="5"/>
    </w:pPr>
    <w:rPr>
      <w:rFonts w:ascii="Arial" w:eastAsia="黑体" w:hAnsi="Arial"/>
      <w:b/>
      <w:sz w:val="24"/>
    </w:rPr>
  </w:style>
  <w:style w:type="paragraph" w:styleId="7">
    <w:name w:val="heading 7"/>
    <w:basedOn w:val="0"/>
    <w:next w:val="0"/>
    <w:pPr>
      <w:keepNext/>
      <w:keepLines/>
      <w:widowControl w:val="0"/>
      <w:numPr>
        <w:ilvl w:val="6"/>
        <w:numId w:val="1"/>
      </w:numPr>
      <w:spacing w:before="240" w:after="64" w:line="317" w:lineRule="auto"/>
      <w:outlineLvl w:val="6"/>
    </w:pPr>
    <w:rPr>
      <w:b/>
      <w:sz w:val="24"/>
    </w:rPr>
  </w:style>
  <w:style w:type="paragraph" w:styleId="8">
    <w:name w:val="heading 8"/>
    <w:basedOn w:val="0"/>
    <w:next w:val="0"/>
    <w:pPr>
      <w:keepNext/>
      <w:keepLines/>
      <w:widowControl w:val="0"/>
      <w:numPr>
        <w:ilvl w:val="7"/>
        <w:numId w:val="1"/>
      </w:numPr>
      <w:spacing w:before="240" w:after="64" w:line="317" w:lineRule="auto"/>
      <w:outlineLvl w:val="7"/>
    </w:pPr>
    <w:rPr>
      <w:rFonts w:ascii="Arial" w:eastAsia="黑体" w:hAnsi="Arial"/>
      <w:sz w:val="24"/>
    </w:rPr>
  </w:style>
  <w:style w:type="paragraph" w:styleId="9">
    <w:name w:val="heading 9"/>
    <w:basedOn w:val="0"/>
    <w:next w:val="0"/>
    <w:pPr>
      <w:keepNext/>
      <w:keepLines/>
      <w:widowControl w:val="0"/>
      <w:numPr>
        <w:ilvl w:val="8"/>
        <w:numId w:val="1"/>
      </w:numPr>
      <w:spacing w:before="240" w:after="64" w:line="317" w:lineRule="auto"/>
      <w:outlineLvl w:val="8"/>
    </w:pPr>
    <w:rPr>
      <w:rFonts w:ascii="Arial" w:eastAsia="黑体" w:hAnsi="Arial"/>
    </w:rPr>
  </w:style>
  <w:style w:type="character" w:default="1" w:styleId="10">
    <w:name w:val="Default Paragraph Font"/>
  </w:style>
  <w:style w:type="paragraph" w:styleId="15">
    <w:name w:val="Plain Text"/>
    <w:basedOn w:val="0"/>
    <w:pPr>
      <w:spacing w:before="156" w:after="156" w:line="400" w:lineRule="exact"/>
    </w:pPr>
    <w:rPr>
      <w:rFonts w:ascii="宋体"/>
      <w:sz w:val="24"/>
      <w:szCs w:val="24"/>
    </w:rPr>
  </w:style>
  <w:style w:type="paragraph" w:styleId="16">
    <w:name w:val="Normal (Web)"/>
    <w:basedOn w:val="0"/>
    <w:pPr>
      <w:widowControl/>
      <w:spacing w:before="100" w:beforeAutospacing="1" w:after="100" w:afterAutospacing="1"/>
      <w:jc w:val="left"/>
    </w:pPr>
    <w:rPr>
      <w:rFonts w:ascii="宋体" w:cs="宋体"/>
      <w:kern w:val="0"/>
      <w:sz w:val="24"/>
      <w:szCs w:val="24"/>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styles" Target="styles.xml"/><Relationship Id="rId3" Type="http://schemas.openxmlformats.org/officeDocument/2006/relationships/numbering" Target="numbering.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1</TotalTime>
  <Application>Yozo_Office</Application>
  <Pages>3</Pages>
  <Words>1421</Words>
  <Characters>1648</Characters>
  <Lines>92</Lines>
  <Paragraphs>73</Paragraphs>
  <CharactersWithSpaces>1661</CharactersWithSpaces>
  <Company>CN</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张丹瑜</cp:lastModifiedBy>
  <cp:revision>2</cp:revision>
  <dcterms:created xsi:type="dcterms:W3CDTF">2025-09-18T07:58:00Z</dcterms:created>
  <dcterms:modified xsi:type="dcterms:W3CDTF">2025-09-22T03:42:22Z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2052-11.8.2.8721</vt:lpwstr>
  </property>
  <property fmtid="{D5CDD505-2E9C-101B-9397-08002B2CF9AE}" pid="3" name="ICV">
    <vt:lpwstr>43C9501BFB494114ADE24C9C647EEF3C_12</vt:lpwstr>
  </property>
  <property fmtid="{D5CDD505-2E9C-101B-9397-08002B2CF9AE}" pid="4" name="KSOTemplateDocerSaveRecord">
    <vt:lpwstr>eyJoZGlkIjoiNjIwNjM1ZDA2YzNjMTNlMDk2MDQ4ZmEzMzQ1YzE3MzEiLCJ1c2VySWQiOiI0ODg1NzIzMDcifQ==</vt:lpwstr>
  </property>
</Properties>
</file>