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insoku/>
        <w:topLinePunct/>
        <w:autoSpaceDE/>
        <w:autoSpaceDN/>
        <w:spacing w:line="360" w:lineRule="auto"/>
        <w:jc w:val="both"/>
        <w:outlineLvl w:val="1"/>
        <w:rPr>
          <w:rFonts w:ascii="Times New Roman" w:eastAsia="方正小标宋_GBK" w:cs="宋体" w:hAnsi="Times New Roman" w:hint="eastAsia"/>
          <w:color w:val="auto"/>
          <w:spacing w:val="4"/>
          <w:sz w:val="44"/>
          <w:szCs w:val="44"/>
          <w:lang w:eastAsia="zh-CN"/>
        </w:rPr>
      </w:pPr>
      <w:bookmarkStart w:id="0" w:name="_GoBack"/>
      <w:bookmarkEnd w:id="0"/>
      <w:r>
        <w:rPr>
          <w:rFonts w:ascii="Times New Roman" w:eastAsia="方正小标宋_GBK" w:cs="宋体" w:hAnsi="Times New Roman"/>
          <w:sz w:val="44"/>
          <w:szCs w:val="44"/>
        </w:rPr>
        <w:t xml:space="preserve">附件2          </w:t>
      </w:r>
      <w:r>
        <w:rPr>
          <w:rFonts w:ascii="Times New Roman" w:eastAsia="方正小标宋_GBK" w:cs="宋体" w:hAnsi="Times New Roman" w:hint="eastAsia"/>
          <w:color w:val="auto"/>
          <w:spacing w:val="4"/>
          <w:sz w:val="44"/>
          <w:szCs w:val="44"/>
          <w:lang w:eastAsia="zh-CN"/>
        </w:rPr>
        <w:t>评分标准</w:t>
      </w:r>
    </w:p>
    <w:p>
      <w:pPr>
        <w:kinsoku/>
        <w:topLinePunct/>
        <w:autoSpaceDE/>
        <w:autoSpaceDN/>
        <w:spacing w:line="360" w:lineRule="auto"/>
        <w:jc w:val="center"/>
        <w:outlineLvl w:val="1"/>
        <w:rPr>
          <w:rFonts w:ascii="Times New Roman" w:cs="宋体" w:hAnsi="Times New Roman" w:hint="eastAsia"/>
          <w:b/>
          <w:color w:val="auto"/>
          <w:spacing w:val="4"/>
          <w:sz w:val="31"/>
          <w:szCs w:val="31"/>
          <w:lang w:eastAsia="zh-CN"/>
        </w:rPr>
      </w:pPr>
    </w:p>
    <w:p>
      <w:pPr>
        <w:kinsoku/>
        <w:topLinePunct/>
        <w:autoSpaceDE/>
        <w:autoSpaceDN/>
        <w:spacing w:line="360" w:lineRule="auto"/>
        <w:jc w:val="both"/>
        <w:outlineLvl w:val="1"/>
        <w:rPr>
          <w:rFonts w:ascii="Times New Roman" w:cs="宋体" w:hAnsi="Times New Roman"/>
          <w:b/>
          <w:color w:val="auto"/>
          <w:spacing w:val="4"/>
          <w:sz w:val="31"/>
          <w:szCs w:val="31"/>
          <w:lang w:val="en-US" w:eastAsia="zh-CN"/>
        </w:rPr>
      </w:pPr>
      <w:r>
        <w:rPr>
          <w:rFonts w:ascii="Times New Roman" w:cs="宋体" w:hAnsi="Times New Roman" w:hint="eastAsia"/>
          <w:b/>
          <w:color w:val="auto"/>
          <w:spacing w:val="4"/>
          <w:sz w:val="31"/>
          <w:szCs w:val="31"/>
          <w:lang w:val="en-US" w:eastAsia="zh-CN"/>
        </w:rPr>
        <w:t>技术废标项</w:t>
      </w:r>
    </w:p>
    <w:tbl>
      <w:tblPr>
        <w:jc w:val="center"/>
        <w:tblW w:w="8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0"/>
        <w:gridCol w:w="2197"/>
        <w:gridCol w:w="4880"/>
        <w:gridCol w:w="705"/>
      </w:tblGrid>
      <w:tr>
        <w:trPr>
          <w:trHeight w:val="138"/>
        </w:trPr>
        <w:tc>
          <w:tcPr>
            <w:tcW w:w="710"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序号</w:t>
            </w:r>
          </w:p>
        </w:tc>
        <w:tc>
          <w:tcPr>
            <w:tcW w:w="2197"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评审因素</w:t>
            </w:r>
          </w:p>
        </w:tc>
        <w:tc>
          <w:tcPr>
            <w:tcW w:w="4880"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评审标准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是否满足</w:t>
            </w:r>
          </w:p>
        </w:tc>
      </w:tr>
      <w:tr>
        <w:trPr>
          <w:trHeight w:val="138"/>
        </w:trPr>
        <w:tc>
          <w:tcPr>
            <w:tcW w:w="710" w:type="dxa"/>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1</w:t>
            </w:r>
          </w:p>
        </w:tc>
        <w:tc>
          <w:tcPr>
            <w:tcW w:w="2197" w:type="dxa"/>
            <w:vAlign w:val="center"/>
          </w:tcPr>
          <w:p>
            <w:pPr>
              <w:widowControl w:val="0"/>
              <w:kinsoku/>
              <w:autoSpaceDE/>
              <w:autoSpaceDN/>
              <w:adjustRightInd/>
              <w:snapToGrid/>
              <w:jc w:val="left"/>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eastAsia="zh-CN"/>
              </w:rPr>
              <w:t>部署环境支持</w:t>
            </w:r>
            <w:r>
              <w:rPr>
                <w:rFonts w:ascii="Times New Roman" w:cs="Times New Roman" w:hAnsi="Times New Roman" w:hint="eastAsia"/>
                <w:b/>
                <w:snapToGrid/>
                <w:color w:val="auto"/>
                <w:kern w:val="2"/>
                <w:lang w:eastAsia="zh-CN"/>
              </w:rPr>
              <w:t>★</w:t>
            </w:r>
          </w:p>
        </w:tc>
        <w:tc>
          <w:tcPr>
            <w:tcW w:w="4880" w:type="dxa"/>
            <w:vAlign w:val="center"/>
          </w:tcPr>
          <w:p>
            <w:pPr>
              <w:widowControl w:val="0"/>
              <w:kinsoku/>
              <w:autoSpaceDE/>
              <w:autoSpaceDN/>
              <w:adjustRightInd/>
              <w:snapToGrid/>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eastAsia="zh-CN"/>
              </w:rPr>
              <w:t>适配常见的基于 arm/x86 处理器的服务器、终端设备等，如银河麒麟操作系统，华为鲲鹏、飞腾等系列处理器，实现稳定部署运行。</w:t>
            </w:r>
          </w:p>
        </w:tc>
        <w:tc>
          <w:tcPr>
            <w:tcW w:w="70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lang w:eastAsia="zh-CN"/>
              </w:rPr>
            </w:pPr>
          </w:p>
        </w:tc>
      </w:tr>
      <w:tr>
        <w:trPr>
          <w:trHeight w:val="138"/>
        </w:trPr>
        <w:tc>
          <w:tcPr>
            <w:tcW w:w="710" w:type="dxa"/>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2</w:t>
            </w:r>
          </w:p>
        </w:tc>
        <w:tc>
          <w:tcPr>
            <w:tcW w:w="2197" w:type="dxa"/>
            <w:vAlign w:val="center"/>
          </w:tcPr>
          <w:p>
            <w:pPr>
              <w:widowControl w:val="0"/>
              <w:kinsoku/>
              <w:autoSpaceDE/>
              <w:autoSpaceDN/>
              <w:adjustRightInd/>
              <w:snapToGrid/>
              <w:jc w:val="left"/>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eastAsia="zh-CN"/>
              </w:rPr>
              <w:t>数据源支持</w:t>
            </w:r>
            <w:r>
              <w:rPr>
                <w:rFonts w:ascii="Times New Roman" w:cs="Times New Roman" w:hAnsi="Times New Roman" w:hint="eastAsia"/>
                <w:b/>
                <w:snapToGrid/>
                <w:color w:val="auto"/>
                <w:kern w:val="2"/>
                <w:lang w:eastAsia="zh-CN"/>
              </w:rPr>
              <w:t>★</w:t>
            </w:r>
          </w:p>
        </w:tc>
        <w:tc>
          <w:tcPr>
            <w:tcW w:w="4880" w:type="dxa"/>
            <w:vAlign w:val="center"/>
          </w:tcPr>
          <w:p>
            <w:pPr>
              <w:widowControl w:val="0"/>
              <w:kinsoku/>
              <w:autoSpaceDE/>
              <w:autoSpaceDN/>
              <w:adjustRightInd/>
              <w:snapToGrid/>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eastAsia="zh-CN"/>
              </w:rPr>
              <w:t>支持Oracle、SqlServer、MySql、postgresql 、GBase 8a、达梦、人大金仓、文本文件等数据源，实现源端和目标端的异构数据同步，能够采集不少于2000张表。</w:t>
            </w:r>
          </w:p>
        </w:tc>
        <w:tc>
          <w:tcPr>
            <w:tcW w:w="70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lang w:eastAsia="zh-CN"/>
              </w:rPr>
            </w:pPr>
          </w:p>
        </w:tc>
      </w:tr>
      <w:tr>
        <w:trPr>
          <w:trHeight w:val="138"/>
        </w:trPr>
        <w:tc>
          <w:tcPr>
            <w:tcW w:w="710" w:type="dxa"/>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3</w:t>
            </w:r>
          </w:p>
        </w:tc>
        <w:tc>
          <w:tcPr>
            <w:tcW w:w="2197" w:type="dxa"/>
            <w:vAlign w:val="center"/>
          </w:tcPr>
          <w:p>
            <w:pPr>
              <w:widowControl w:val="0"/>
              <w:kinsoku/>
              <w:autoSpaceDE/>
              <w:autoSpaceDN/>
              <w:adjustRightInd/>
              <w:snapToGrid/>
              <w:jc w:val="left"/>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val="en-US" w:eastAsia="zh-CN"/>
              </w:rPr>
              <w:t>数据采集影响</w:t>
            </w:r>
            <w:r>
              <w:rPr>
                <w:rFonts w:ascii="Times New Roman" w:cs="Times New Roman" w:hAnsi="Times New Roman" w:hint="eastAsia"/>
                <w:b/>
                <w:snapToGrid/>
                <w:color w:val="auto"/>
                <w:kern w:val="2"/>
                <w:lang w:eastAsia="zh-CN"/>
              </w:rPr>
              <w:t>★</w:t>
            </w:r>
          </w:p>
        </w:tc>
        <w:tc>
          <w:tcPr>
            <w:tcW w:w="4880" w:type="dxa"/>
            <w:vAlign w:val="center"/>
          </w:tcPr>
          <w:p>
            <w:pPr>
              <w:widowControl w:val="0"/>
              <w:kinsoku/>
              <w:autoSpaceDE/>
              <w:autoSpaceDN/>
              <w:adjustRightInd/>
              <w:snapToGrid/>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val="en-US" w:eastAsia="zh-CN"/>
              </w:rPr>
              <w:t>支持中间机采集，不得在数据库服务器安装任何软件或插件，不得明显影响源端数据环境。</w:t>
            </w:r>
          </w:p>
        </w:tc>
        <w:tc>
          <w:tcPr>
            <w:tcW w:w="70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lang w:eastAsia="zh-CN"/>
              </w:rPr>
            </w:pPr>
          </w:p>
        </w:tc>
      </w:tr>
      <w:tr>
        <w:trPr>
          <w:trHeight w:val="138"/>
        </w:trPr>
        <w:tc>
          <w:tcPr>
            <w:tcW w:w="710" w:type="dxa"/>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4</w:t>
            </w:r>
          </w:p>
        </w:tc>
        <w:tc>
          <w:tcPr>
            <w:tcW w:w="2197" w:type="dxa"/>
            <w:vAlign w:val="center"/>
          </w:tcPr>
          <w:p>
            <w:pPr>
              <w:widowControl w:val="0"/>
              <w:kinsoku/>
              <w:autoSpaceDE/>
              <w:autoSpaceDN/>
              <w:adjustRightInd/>
              <w:snapToGrid/>
              <w:jc w:val="left"/>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val="en-US" w:eastAsia="zh-CN"/>
              </w:rPr>
              <w:t>定时采集★</w:t>
            </w:r>
          </w:p>
        </w:tc>
        <w:tc>
          <w:tcPr>
            <w:tcW w:w="4880" w:type="dxa"/>
            <w:vAlign w:val="center"/>
          </w:tcPr>
          <w:p>
            <w:pPr>
              <w:widowControl w:val="0"/>
              <w:kinsoku/>
              <w:autoSpaceDE/>
              <w:autoSpaceDN/>
              <w:adjustRightInd/>
              <w:snapToGrid/>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val="en-US" w:eastAsia="zh-CN"/>
              </w:rPr>
              <w:t>支持各种数据库源端定时采集和定时任务调度服务；</w:t>
            </w:r>
          </w:p>
        </w:tc>
        <w:tc>
          <w:tcPr>
            <w:tcW w:w="70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lang w:eastAsia="zh-CN"/>
              </w:rPr>
            </w:pPr>
          </w:p>
        </w:tc>
      </w:tr>
    </w:tbl>
    <w:p>
      <w:pPr>
        <w:kinsoku/>
        <w:topLinePunct/>
        <w:autoSpaceDE/>
        <w:autoSpaceDN/>
        <w:spacing w:line="360" w:lineRule="auto"/>
        <w:jc w:val="both"/>
        <w:outlineLvl w:val="1"/>
        <w:rPr>
          <w:rFonts w:ascii="Times New Roman" w:cs="宋体" w:hAnsi="Times New Roman"/>
          <w:b/>
          <w:color w:val="auto"/>
          <w:spacing w:val="4"/>
          <w:sz w:val="31"/>
          <w:szCs w:val="31"/>
          <w:lang w:val="en-US" w:eastAsia="zh-CN"/>
        </w:rPr>
      </w:pPr>
    </w:p>
    <w:p>
      <w:pPr>
        <w:kinsoku/>
        <w:topLinePunct/>
        <w:autoSpaceDE/>
        <w:autoSpaceDN/>
        <w:spacing w:line="360" w:lineRule="auto"/>
        <w:jc w:val="both"/>
        <w:outlineLvl w:val="1"/>
        <w:rPr>
          <w:rFonts w:ascii="Times New Roman" w:cs="宋体" w:hAnsi="Times New Roman"/>
          <w:b/>
          <w:color w:val="auto"/>
          <w:spacing w:val="4"/>
          <w:sz w:val="31"/>
          <w:szCs w:val="31"/>
          <w:lang w:eastAsia="zh-CN"/>
        </w:rPr>
      </w:pPr>
      <w:r>
        <w:rPr>
          <w:rFonts w:ascii="Times New Roman" w:cs="宋体" w:hAnsi="Times New Roman" w:hint="eastAsia"/>
          <w:b/>
          <w:color w:val="auto"/>
          <w:spacing w:val="4"/>
          <w:sz w:val="31"/>
          <w:szCs w:val="31"/>
          <w:lang w:eastAsia="zh-CN"/>
        </w:rPr>
        <w:t>技术评审表</w:t>
      </w:r>
    </w:p>
    <w:tbl>
      <w:tblPr>
        <w:jc w:val="center"/>
        <w:tblW w:w="8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7"/>
        <w:gridCol w:w="1949"/>
        <w:gridCol w:w="5011"/>
        <w:gridCol w:w="705"/>
      </w:tblGrid>
      <w:tr>
        <w:trPr>
          <w:trHeight w:val="138"/>
        </w:trPr>
        <w:tc>
          <w:tcPr>
            <w:tcW w:w="827"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序号</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评审因素</w:t>
            </w:r>
          </w:p>
        </w:tc>
        <w:tc>
          <w:tcPr>
            <w:tcW w:w="5011"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评审标准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分值</w:t>
            </w:r>
          </w:p>
        </w:tc>
      </w:tr>
      <w:tr>
        <w:trPr>
          <w:trHeight w:val="138"/>
        </w:trPr>
        <w:tc>
          <w:tcPr>
            <w:tcW w:w="827" w:type="dxa"/>
            <w:shd w:val="clear" w:color="auto" w:fill="auto"/>
            <w:vAlign w:val="center"/>
          </w:tcPr>
          <w:p>
            <w:pPr>
              <w:widowControl w:val="0"/>
              <w:kinsoku/>
              <w:autoSpaceDE/>
              <w:autoSpaceDN/>
              <w:adjustRightInd/>
              <w:snapToGrid/>
              <w:jc w:val="center"/>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1</w:t>
            </w:r>
          </w:p>
        </w:tc>
        <w:tc>
          <w:tcPr>
            <w:tcW w:w="1949" w:type="dxa"/>
            <w:shd w:val="clear" w:color="auto" w:fill="auto"/>
            <w:vAlign w:val="center"/>
          </w:tcPr>
          <w:p>
            <w:pPr>
              <w:widowControl w:val="0"/>
              <w:kinsoku/>
              <w:autoSpaceDE/>
              <w:autoSpaceDN/>
              <w:adjustRightInd/>
              <w:snapToGrid/>
              <w:jc w:val="center"/>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工具架构</w:t>
            </w:r>
          </w:p>
        </w:tc>
        <w:tc>
          <w:tcPr>
            <w:tcW w:w="5011" w:type="dxa"/>
            <w:shd w:val="clear" w:color="auto" w:fill="auto"/>
            <w:vAlign w:val="center"/>
          </w:tcPr>
          <w:p>
            <w:pPr>
              <w:widowControl w:val="0"/>
              <w:kinsoku/>
              <w:autoSpaceDE/>
              <w:autoSpaceDN/>
              <w:adjustRightInd/>
              <w:snapToGrid/>
              <w:jc w:val="left"/>
              <w:textAlignment w:val="auto"/>
              <w:rPr>
                <w:rFonts w:ascii="Times New Roman" w:cs="宋体" w:hAnsi="Times New Roman" w:hint="eastAsia"/>
                <w:snapToGrid/>
                <w:color w:val="auto"/>
                <w:kern w:val="2"/>
                <w:lang w:eastAsia="zh-CN"/>
              </w:rPr>
            </w:pPr>
            <w:r>
              <w:rPr>
                <w:rFonts w:ascii="Times New Roman" w:cs="宋体" w:hAnsi="Times New Roman" w:hint="eastAsia"/>
                <w:snapToGrid/>
                <w:color w:val="auto"/>
                <w:kern w:val="2"/>
                <w:lang w:val="en-US" w:eastAsia="zh-CN"/>
              </w:rPr>
              <w:t>采用中心化数据交换架构，通过 “一次采集、全域复用” 的设计，从根本上降低数据采集对生产库的影响，支持对高频变更数据采用日志解析，对大规模历史数据支持批式处理，确保数据的流转既满足实时性又兼顾吞吐量；</w:t>
            </w:r>
          </w:p>
          <w:p>
            <w:pPr>
              <w:widowControl w:val="0"/>
              <w:kinsoku/>
              <w:autoSpaceDE/>
              <w:autoSpaceDN/>
              <w:adjustRightInd/>
              <w:snapToGrid/>
              <w:jc w:val="left"/>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满足得8分，不满足得0分；</w:t>
            </w:r>
          </w:p>
        </w:tc>
        <w:tc>
          <w:tcPr>
            <w:tcW w:w="705" w:type="dxa"/>
            <w:shd w:val="clear" w:color="auto" w:fill="auto"/>
            <w:vAlign w:val="center"/>
          </w:tcPr>
          <w:p>
            <w:pPr>
              <w:widowControl w:val="0"/>
              <w:kinsoku/>
              <w:autoSpaceDE/>
              <w:autoSpaceDN/>
              <w:adjustRightInd/>
              <w:snapToGrid/>
              <w:jc w:val="center"/>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8</w:t>
            </w:r>
          </w:p>
        </w:tc>
      </w:tr>
      <w:tr>
        <w:trPr>
          <w:trHeight w:val="138"/>
        </w:trPr>
        <w:tc>
          <w:tcPr>
            <w:tcW w:w="827" w:type="dxa"/>
            <w:vAlign w:val="center"/>
          </w:tcPr>
          <w:p>
            <w:pPr>
              <w:widowControl w:val="0"/>
              <w:kinsoku/>
              <w:autoSpaceDE/>
              <w:autoSpaceDN/>
              <w:adjustRightInd/>
              <w:snapToGrid/>
              <w:jc w:val="both"/>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val="en-US" w:eastAsia="zh-CN"/>
              </w:rPr>
              <w:t>2</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数据同步链路编排</w:t>
            </w:r>
          </w:p>
        </w:tc>
        <w:tc>
          <w:tcPr>
            <w:tcW w:w="5011" w:type="dxa"/>
            <w:vAlign w:val="center"/>
          </w:tcPr>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支持不同数据源表之间的任意编排和组合，可通过配置将不同数据源表同步到同一个目标数据库中。</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lang w:eastAsia="zh-CN"/>
              </w:rPr>
              <w:t>全部满足得2分，部分满足得1分</w:t>
            </w:r>
            <w:r>
              <w:rPr>
                <w:rFonts w:ascii="Times New Roman" w:cs="宋体" w:hAnsi="Times New Roman"/>
                <w:snapToGrid/>
                <w:color w:val="auto"/>
                <w:lang w:eastAsia="zh-CN"/>
              </w:rPr>
              <w:t>，</w:t>
            </w:r>
            <w:r>
              <w:rPr>
                <w:rFonts w:ascii="Times New Roman" w:cs="宋体" w:hAnsi="Times New Roman" w:hint="eastAsia"/>
                <w:snapToGrid/>
                <w:color w:val="auto"/>
                <w:lang w:eastAsia="zh-CN"/>
              </w:rPr>
              <w:t>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2</w:t>
            </w:r>
          </w:p>
        </w:tc>
      </w:tr>
      <w:tr>
        <w:trPr>
          <w:trHeight w:val="138"/>
        </w:trPr>
        <w:tc>
          <w:tcPr>
            <w:tcW w:w="827" w:type="dxa"/>
            <w:vAlign w:val="center"/>
          </w:tcPr>
          <w:p>
            <w:pPr>
              <w:widowControl w:val="0"/>
              <w:kinsoku/>
              <w:autoSpaceDE/>
              <w:autoSpaceDN/>
              <w:adjustRightInd/>
              <w:snapToGrid/>
              <w:jc w:val="both"/>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val="en-US" w:eastAsia="zh-CN"/>
              </w:rPr>
              <w:t>3</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DDL</w:t>
            </w:r>
            <w:r>
              <w:rPr>
                <w:rFonts w:ascii="Times New Roman" w:cs="宋体" w:hAnsi="Times New Roman" w:hint="eastAsia"/>
                <w:snapToGrid/>
                <w:color w:val="auto"/>
                <w:kern w:val="2"/>
                <w:lang w:eastAsia="zh-CN"/>
              </w:rPr>
              <w:t>转换和表结构变化同步</w:t>
            </w:r>
          </w:p>
        </w:tc>
        <w:tc>
          <w:tcPr>
            <w:tcW w:w="5011" w:type="dxa"/>
            <w:vAlign w:val="center"/>
          </w:tcPr>
          <w:p>
            <w:pPr>
              <w:widowControl w:val="0"/>
              <w:kinsoku/>
              <w:autoSpaceDE/>
              <w:autoSpaceDN/>
              <w:adjustRightInd/>
              <w:snapToGrid/>
              <w:textAlignment w:val="auto"/>
              <w:rPr>
                <w:rFonts w:ascii="Times New Roman" w:cs="宋体" w:hAnsi="Times New Roman"/>
                <w:snapToGrid/>
                <w:color w:val="auto"/>
                <w:kern w:val="2"/>
                <w:lang w:eastAsia="zh-CN"/>
              </w:rPr>
            </w:pPr>
            <w:r>
              <w:rPr>
                <w:rFonts w:ascii="Times New Roman" w:cs="宋体" w:hAnsi="Times New Roman" w:hint="eastAsia"/>
                <w:snapToGrid/>
                <w:color w:val="auto"/>
                <w:kern w:val="2"/>
                <w:lang w:eastAsia="zh-CN"/>
              </w:rPr>
              <w:t>1.支持异构数据源表结构转换，即指定源端数据库表结构转换成目标数据库的表结构，提供导出下载。</w:t>
            </w:r>
            <w:r>
              <w:rPr>
                <w:rFonts w:ascii="Times New Roman" w:cs="宋体" w:hAnsi="Times New Roman"/>
                <w:snapToGrid/>
                <w:color w:val="auto"/>
                <w:kern w:val="2"/>
                <w:lang w:eastAsia="zh-CN"/>
              </w:rPr>
              <w:t xml:space="preserve">   </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2.支持对源端</w:t>
            </w:r>
            <w:r>
              <w:rPr>
                <w:rFonts w:ascii="Times New Roman" w:cs="宋体" w:hAnsi="Times New Roman"/>
                <w:snapToGrid/>
                <w:color w:val="auto"/>
                <w:kern w:val="2"/>
                <w:lang w:eastAsia="zh-CN"/>
              </w:rPr>
              <w:t>DDL</w:t>
            </w:r>
            <w:r>
              <w:rPr>
                <w:rFonts w:ascii="Times New Roman" w:cs="宋体" w:hAnsi="Times New Roman" w:hint="eastAsia"/>
                <w:snapToGrid/>
                <w:color w:val="auto"/>
                <w:kern w:val="2"/>
                <w:lang w:eastAsia="zh-CN"/>
              </w:rPr>
              <w:t>表结构变更的实时记录，自动同步到目标端。</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lang w:eastAsia="zh-CN"/>
              </w:rPr>
              <w:t>全部满足得2分，部分满足得1分</w:t>
            </w:r>
            <w:r>
              <w:rPr>
                <w:rFonts w:ascii="Times New Roman" w:cs="宋体" w:hAnsi="Times New Roman"/>
                <w:snapToGrid/>
                <w:color w:val="auto"/>
                <w:lang w:eastAsia="zh-CN"/>
              </w:rPr>
              <w:t>，</w:t>
            </w:r>
            <w:r>
              <w:rPr>
                <w:rFonts w:ascii="Times New Roman" w:cs="宋体" w:hAnsi="Times New Roman" w:hint="eastAsia"/>
                <w:snapToGrid/>
                <w:color w:val="auto"/>
                <w:lang w:eastAsia="zh-CN"/>
              </w:rPr>
              <w:t>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2</w:t>
            </w:r>
          </w:p>
        </w:tc>
      </w:tr>
      <w:tr>
        <w:trPr>
          <w:trHeight w:val="138"/>
        </w:trPr>
        <w:tc>
          <w:tcPr>
            <w:tcW w:w="827" w:type="dxa"/>
            <w:vAlign w:val="center"/>
          </w:tcPr>
          <w:p>
            <w:pPr>
              <w:widowControl w:val="0"/>
              <w:kinsoku/>
              <w:autoSpaceDE/>
              <w:autoSpaceDN/>
              <w:adjustRightInd/>
              <w:snapToGrid/>
              <w:jc w:val="both"/>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val="en-US" w:eastAsia="zh-CN"/>
              </w:rPr>
              <w:t>4</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lang w:val="en-US" w:eastAsia="zh-CN"/>
              </w:rPr>
            </w:pPr>
            <w:r>
              <w:rPr>
                <w:rFonts w:ascii="Times New Roman" w:cs="宋体" w:hAnsi="Times New Roman" w:hint="eastAsia"/>
                <w:snapToGrid/>
                <w:color w:val="auto"/>
                <w:lang w:eastAsia="zh-CN"/>
              </w:rPr>
              <w:t>数据比</w:t>
            </w:r>
            <w:r>
              <w:rPr>
                <w:rFonts w:ascii="Times New Roman" w:cs="宋体" w:hAnsi="Times New Roman"/>
                <w:snapToGrid/>
                <w:color w:val="auto"/>
                <w:lang w:eastAsia="zh-CN"/>
              </w:rPr>
              <w:t>对</w:t>
            </w:r>
            <w:r>
              <w:rPr>
                <w:rFonts w:ascii="Times New Roman" w:cs="宋体" w:hAnsi="Times New Roman" w:hint="eastAsia"/>
                <w:snapToGrid/>
                <w:color w:val="auto"/>
                <w:lang w:val="en-US" w:eastAsia="zh-CN"/>
              </w:rPr>
              <w:t>及修复</w:t>
            </w:r>
          </w:p>
        </w:tc>
        <w:tc>
          <w:tcPr>
            <w:tcW w:w="5011" w:type="dxa"/>
            <w:vAlign w:val="center"/>
          </w:tcPr>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1.支持源端和目标端的</w:t>
            </w:r>
            <w:r>
              <w:rPr>
                <w:rFonts w:ascii="Times New Roman" w:cs="宋体" w:hAnsi="Times New Roman" w:hint="eastAsia"/>
                <w:b/>
                <w:bCs/>
                <w:snapToGrid/>
                <w:color w:val="auto"/>
                <w:lang w:eastAsia="zh-CN"/>
              </w:rPr>
              <w:t>记录数比对</w:t>
            </w:r>
            <w:r>
              <w:rPr>
                <w:rFonts w:ascii="Times New Roman" w:cs="宋体" w:hAnsi="Times New Roman" w:hint="eastAsia"/>
                <w:snapToGrid/>
                <w:color w:val="auto"/>
                <w:lang w:eastAsia="zh-CN"/>
              </w:rPr>
              <w:t>（全表、条件）；</w:t>
            </w:r>
          </w:p>
          <w:p>
            <w:pPr>
              <w:widowControl w:val="0"/>
              <w:kinsoku/>
              <w:autoSpaceDE/>
              <w:autoSpaceDN/>
              <w:adjustRightInd/>
              <w:snapToGrid/>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eastAsia="zh-CN"/>
              </w:rPr>
              <w:t>2.支持源端和目标端的</w:t>
            </w:r>
            <w:r>
              <w:rPr>
                <w:rFonts w:ascii="Times New Roman" w:cs="宋体" w:hAnsi="Times New Roman" w:hint="eastAsia"/>
                <w:b/>
                <w:bCs/>
                <w:snapToGrid/>
                <w:color w:val="auto"/>
                <w:lang w:eastAsia="zh-CN"/>
              </w:rPr>
              <w:t>内容比对</w:t>
            </w:r>
            <w:r>
              <w:rPr>
                <w:rFonts w:ascii="Times New Roman" w:cs="宋体" w:hAnsi="Times New Roman" w:hint="eastAsia"/>
                <w:snapToGrid/>
                <w:color w:val="auto"/>
                <w:lang w:eastAsia="zh-CN"/>
              </w:rPr>
              <w:t>。</w:t>
            </w:r>
          </w:p>
          <w:p>
            <w:pPr>
              <w:widowControl w:val="0"/>
              <w:kinsoku/>
              <w:autoSpaceDE/>
              <w:autoSpaceDN/>
              <w:adjustRightInd/>
              <w:snapToGrid/>
              <w:textAlignment w:val="auto"/>
              <w:rPr>
                <w:rFonts w:ascii="Times New Roman" w:cs="宋体" w:hAnsi="Times New Roman"/>
                <w:snapToGrid/>
                <w:color w:val="auto"/>
                <w:lang w:val="en-US" w:eastAsia="zh-CN"/>
              </w:rPr>
            </w:pPr>
            <w:r>
              <w:rPr>
                <w:rFonts w:ascii="Times New Roman" w:cs="宋体" w:hAnsi="Times New Roman" w:hint="eastAsia"/>
                <w:snapToGrid/>
                <w:color w:val="auto"/>
                <w:lang w:val="en-US" w:eastAsia="zh-CN"/>
              </w:rPr>
              <w:t>3.支持表级全量数据修复和支持表级行级数据修复功能。</w:t>
            </w:r>
          </w:p>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全部满足得</w:t>
            </w:r>
            <w:r>
              <w:rPr>
                <w:rFonts w:ascii="Times New Roman" w:cs="宋体" w:hAnsi="Times New Roman" w:hint="eastAsia"/>
                <w:snapToGrid/>
                <w:color w:val="auto"/>
                <w:lang w:val="en-US" w:eastAsia="zh-CN"/>
              </w:rPr>
              <w:t>4</w:t>
            </w:r>
            <w:r>
              <w:rPr>
                <w:rFonts w:ascii="Times New Roman" w:cs="宋体" w:hAnsi="Times New Roman" w:hint="eastAsia"/>
                <w:snapToGrid/>
                <w:color w:val="auto"/>
                <w:lang w:eastAsia="zh-CN"/>
              </w:rPr>
              <w:t>分，部分满足得</w:t>
            </w:r>
            <w:r>
              <w:rPr>
                <w:rFonts w:ascii="Times New Roman" w:cs="宋体" w:hAnsi="Times New Roman" w:hint="eastAsia"/>
                <w:snapToGrid/>
                <w:color w:val="auto"/>
                <w:lang w:val="en-US" w:eastAsia="zh-CN"/>
              </w:rPr>
              <w:t>1</w:t>
            </w:r>
            <w:r>
              <w:rPr>
                <w:rFonts w:ascii="Times New Roman" w:cs="宋体" w:hAnsi="Times New Roman" w:hint="eastAsia"/>
                <w:snapToGrid/>
                <w:color w:val="auto"/>
                <w:lang w:eastAsia="zh-CN"/>
              </w:rPr>
              <w:t>分</w:t>
            </w:r>
            <w:r>
              <w:rPr>
                <w:rFonts w:ascii="Times New Roman" w:cs="宋体" w:hAnsi="Times New Roman"/>
                <w:snapToGrid/>
                <w:color w:val="auto"/>
                <w:lang w:eastAsia="zh-CN"/>
              </w:rPr>
              <w:t>，</w:t>
            </w:r>
            <w:r>
              <w:rPr>
                <w:rFonts w:ascii="Times New Roman" w:cs="宋体" w:hAnsi="Times New Roman" w:hint="eastAsia"/>
                <w:snapToGrid/>
                <w:color w:val="auto"/>
                <w:lang w:eastAsia="zh-CN"/>
              </w:rPr>
              <w:t>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val="en-US" w:eastAsia="zh-CN"/>
              </w:rPr>
              <w:t>4</w:t>
            </w:r>
          </w:p>
        </w:tc>
      </w:tr>
      <w:tr>
        <w:trPr>
          <w:trHeight w:val="138"/>
        </w:trPr>
        <w:tc>
          <w:tcPr>
            <w:tcW w:w="827" w:type="dxa"/>
            <w:vAlign w:val="center"/>
          </w:tcPr>
          <w:p>
            <w:pPr>
              <w:widowControl w:val="0"/>
              <w:kinsoku/>
              <w:autoSpaceDE/>
              <w:autoSpaceDN/>
              <w:adjustRightInd/>
              <w:snapToGrid/>
              <w:jc w:val="both"/>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val="en-US" w:eastAsia="zh-CN"/>
              </w:rPr>
              <w:t>5</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lang w:eastAsia="zh-CN"/>
              </w:rPr>
            </w:pPr>
            <w:r>
              <w:rPr>
                <w:rFonts w:ascii="Times New Roman" w:cs="宋体" w:hAnsi="Times New Roman"/>
                <w:snapToGrid/>
                <w:color w:val="auto"/>
                <w:lang w:eastAsia="zh-CN"/>
              </w:rPr>
              <w:t>API</w:t>
            </w:r>
            <w:r>
              <w:rPr>
                <w:rFonts w:ascii="Times New Roman" w:cs="宋体" w:hAnsi="Times New Roman" w:hint="eastAsia"/>
                <w:snapToGrid/>
                <w:color w:val="auto"/>
                <w:lang w:eastAsia="zh-CN"/>
              </w:rPr>
              <w:t>扩展服务和支持组件二次开发</w:t>
            </w:r>
          </w:p>
        </w:tc>
        <w:tc>
          <w:tcPr>
            <w:tcW w:w="5011" w:type="dxa"/>
            <w:vAlign w:val="center"/>
          </w:tcPr>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1.提供基本的</w:t>
            </w:r>
            <w:r>
              <w:rPr>
                <w:rFonts w:ascii="Times New Roman" w:cs="宋体" w:hAnsi="Times New Roman"/>
                <w:snapToGrid/>
                <w:color w:val="auto"/>
                <w:lang w:eastAsia="zh-CN"/>
              </w:rPr>
              <w:t>API</w:t>
            </w:r>
            <w:r>
              <w:rPr>
                <w:rFonts w:ascii="Times New Roman" w:cs="宋体" w:hAnsi="Times New Roman" w:hint="eastAsia"/>
                <w:snapToGrid/>
                <w:color w:val="auto"/>
                <w:lang w:eastAsia="zh-CN"/>
              </w:rPr>
              <w:t>服务配置能力，包括添加、删除和修改</w:t>
            </w:r>
            <w:r>
              <w:rPr>
                <w:rFonts w:ascii="Times New Roman" w:cs="宋体" w:hAnsi="Times New Roman"/>
                <w:snapToGrid/>
                <w:color w:val="auto"/>
                <w:lang w:eastAsia="zh-CN"/>
              </w:rPr>
              <w:t>API</w:t>
            </w:r>
            <w:r>
              <w:rPr>
                <w:rFonts w:ascii="Times New Roman" w:cs="宋体" w:hAnsi="Times New Roman" w:hint="eastAsia"/>
                <w:snapToGrid/>
                <w:color w:val="auto"/>
                <w:lang w:eastAsia="zh-CN"/>
              </w:rPr>
              <w:t>服务；</w:t>
            </w:r>
            <w:r>
              <w:rPr>
                <w:rFonts w:ascii="Times New Roman" w:cs="宋体" w:hAnsi="Times New Roman"/>
                <w:snapToGrid/>
                <w:color w:val="auto"/>
                <w:lang w:eastAsia="zh-CN"/>
              </w:rPr>
              <w:t xml:space="preserve">                                                                </w:t>
            </w:r>
            <w:r>
              <w:rPr>
                <w:rFonts w:ascii="Times New Roman" w:cs="宋体" w:hAnsi="Times New Roman" w:hint="eastAsia"/>
                <w:snapToGrid/>
                <w:color w:val="auto"/>
                <w:lang w:eastAsia="zh-CN"/>
              </w:rPr>
              <w:t xml:space="preserve">  2.提供</w:t>
            </w:r>
            <w:r>
              <w:rPr>
                <w:rFonts w:ascii="Times New Roman" w:cs="宋体" w:hAnsi="Times New Roman"/>
                <w:snapToGrid/>
                <w:color w:val="auto"/>
                <w:lang w:eastAsia="zh-CN"/>
              </w:rPr>
              <w:t>SDK</w:t>
            </w:r>
            <w:r>
              <w:rPr>
                <w:rFonts w:ascii="Times New Roman" w:cs="宋体" w:hAnsi="Times New Roman" w:hint="eastAsia"/>
                <w:snapToGrid/>
                <w:color w:val="auto"/>
                <w:lang w:eastAsia="zh-CN"/>
              </w:rPr>
              <w:t>驱动，可自主对接数据源，实现数据发布、加工与订阅需求。</w:t>
            </w:r>
            <w:r>
              <w:rPr>
                <w:rFonts w:ascii="Times New Roman" w:cs="宋体" w:hAnsi="Times New Roman"/>
                <w:snapToGrid/>
                <w:color w:val="auto"/>
                <w:lang w:eastAsia="zh-CN"/>
              </w:rPr>
              <w:t xml:space="preserve">                                                                                 </w:t>
            </w:r>
          </w:p>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全部满足得2分，部分满足得1分或不满足得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2</w:t>
            </w:r>
          </w:p>
        </w:tc>
      </w:tr>
      <w:tr>
        <w:trPr>
          <w:trHeight w:val="138"/>
        </w:trPr>
        <w:tc>
          <w:tcPr>
            <w:tcW w:w="827" w:type="dxa"/>
            <w:vAlign w:val="center"/>
          </w:tcPr>
          <w:p>
            <w:pPr>
              <w:widowControl w:val="0"/>
              <w:kinsoku/>
              <w:autoSpaceDE/>
              <w:autoSpaceDN/>
              <w:adjustRightInd/>
              <w:snapToGrid/>
              <w:jc w:val="both"/>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6</w:t>
            </w:r>
          </w:p>
        </w:tc>
        <w:tc>
          <w:tcPr>
            <w:tcW w:w="1949" w:type="dxa"/>
            <w:vAlign w:val="center"/>
          </w:tcPr>
          <w:p>
            <w:pPr>
              <w:widowControl w:val="0"/>
              <w:kinsoku/>
              <w:autoSpaceDE/>
              <w:autoSpaceDN/>
              <w:adjustRightInd/>
              <w:snapToGrid/>
              <w:jc w:val="center"/>
              <w:textAlignment w:val="auto"/>
              <w:rPr>
                <w:rFonts w:ascii="Times New Roman" w:cs="Times New Roman" w:hAnsi="Times New Roman"/>
                <w:snapToGrid/>
                <w:color w:val="auto"/>
                <w:lang w:eastAsia="zh-CN"/>
              </w:rPr>
            </w:pPr>
            <w:r>
              <w:rPr>
                <w:rFonts w:ascii="Times New Roman" w:cs="Times New Roman" w:hAnsi="Times New Roman" w:hint="eastAsia"/>
                <w:snapToGrid/>
                <w:color w:val="auto"/>
                <w:lang w:eastAsia="zh-CN"/>
              </w:rPr>
              <w:t>分库分表合并功能</w:t>
            </w:r>
          </w:p>
        </w:tc>
        <w:tc>
          <w:tcPr>
            <w:tcW w:w="5011" w:type="dxa"/>
            <w:vAlign w:val="center"/>
          </w:tcPr>
          <w:p>
            <w:pPr>
              <w:widowControl w:val="0"/>
              <w:kinsoku/>
              <w:autoSpaceDE/>
              <w:autoSpaceDN/>
              <w:adjustRightInd/>
              <w:snapToGrid/>
              <w:textAlignment w:val="auto"/>
              <w:rPr>
                <w:rFonts w:ascii="Times New Roman" w:cs="Times New Roman" w:hAnsi="Times New Roman" w:hint="eastAsia"/>
                <w:snapToGrid/>
                <w:color w:val="auto"/>
                <w:lang w:eastAsia="zh-CN"/>
              </w:rPr>
            </w:pPr>
            <w:r>
              <w:rPr>
                <w:rFonts w:ascii="Times New Roman" w:cs="Times New Roman" w:hAnsi="Times New Roman" w:hint="eastAsia"/>
                <w:snapToGrid/>
                <w:color w:val="auto"/>
                <w:lang w:eastAsia="zh-CN"/>
              </w:rPr>
              <w:t>多个数据源表管理复制过程中，合并成一个表。单个数据源表管理复制过程中，可拆分成多张表。</w:t>
            </w:r>
          </w:p>
          <w:p>
            <w:pPr>
              <w:widowControl w:val="0"/>
              <w:kinsoku/>
              <w:autoSpaceDE/>
              <w:autoSpaceDN/>
              <w:adjustRightInd/>
              <w:snapToGrid/>
              <w:textAlignment w:val="auto"/>
              <w:rPr>
                <w:rFonts w:ascii="Times New Roman" w:cs="Times New Roman" w:hAnsi="Times New Roman" w:hint="eastAsia"/>
                <w:snapToGrid/>
                <w:color w:val="auto"/>
                <w:lang w:eastAsia="zh-CN"/>
              </w:rPr>
            </w:pPr>
            <w:r>
              <w:rPr>
                <w:rFonts w:ascii="Times New Roman" w:cs="宋体" w:hAnsi="Times New Roman" w:hint="eastAsia"/>
                <w:snapToGrid/>
                <w:color w:val="auto"/>
                <w:lang w:eastAsia="zh-CN"/>
              </w:rPr>
              <w:t>满足得</w:t>
            </w:r>
            <w:r>
              <w:rPr>
                <w:rFonts w:ascii="Times New Roman" w:cs="宋体" w:hAnsi="Times New Roman" w:hint="eastAsia"/>
                <w:snapToGrid/>
                <w:color w:val="auto"/>
                <w:lang w:val="en-US" w:eastAsia="zh-CN"/>
              </w:rPr>
              <w:t>4</w:t>
            </w:r>
            <w:r>
              <w:rPr>
                <w:rFonts w:ascii="Times New Roman" w:cs="宋体" w:hAnsi="Times New Roman" w:hint="eastAsia"/>
                <w:snapToGrid/>
                <w:color w:val="auto"/>
                <w:lang w:eastAsia="zh-CN"/>
              </w:rPr>
              <w:t>分，不满足得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4</w:t>
            </w:r>
          </w:p>
        </w:tc>
      </w:tr>
      <w:tr>
        <w:trPr>
          <w:trHeight w:val="138"/>
        </w:trPr>
        <w:tc>
          <w:tcPr>
            <w:tcW w:w="827" w:type="dxa"/>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7</w:t>
            </w:r>
          </w:p>
        </w:tc>
        <w:tc>
          <w:tcPr>
            <w:tcW w:w="1949" w:type="dxa"/>
            <w:vAlign w:val="center"/>
          </w:tcPr>
          <w:p>
            <w:pPr>
              <w:widowControl w:val="0"/>
              <w:kinsoku/>
              <w:autoSpaceDE/>
              <w:autoSpaceDN/>
              <w:adjustRightInd/>
              <w:snapToGrid/>
              <w:jc w:val="center"/>
              <w:textAlignment w:val="auto"/>
              <w:rPr>
                <w:rFonts w:ascii="Times New Roman" w:cs="宋体" w:hAnsi="Times New Roman"/>
                <w:snapToGrid/>
                <w:color w:val="auto"/>
                <w:lang w:eastAsia="zh-CN"/>
              </w:rPr>
            </w:pPr>
            <w:r>
              <w:rPr>
                <w:rFonts w:ascii="Times New Roman" w:cs="Times New Roman" w:hAnsi="Times New Roman" w:hint="eastAsia"/>
                <w:snapToGrid/>
                <w:color w:val="auto"/>
                <w:lang w:val="en-US" w:eastAsia="zh-CN"/>
              </w:rPr>
              <w:t>消息组件</w:t>
            </w:r>
          </w:p>
        </w:tc>
        <w:tc>
          <w:tcPr>
            <w:tcW w:w="5011" w:type="dxa"/>
            <w:vAlign w:val="center"/>
          </w:tcPr>
          <w:p>
            <w:pPr>
              <w:widowControl w:val="0"/>
              <w:kinsoku/>
              <w:autoSpaceDE/>
              <w:autoSpaceDN/>
              <w:adjustRightInd/>
              <w:snapToGrid/>
              <w:jc w:val="left"/>
              <w:textAlignment w:val="auto"/>
              <w:rPr>
                <w:rFonts w:ascii="Times New Roman" w:cs="Times New Roman" w:hAnsi="Times New Roman" w:hint="eastAsia"/>
                <w:snapToGrid/>
                <w:color w:val="auto"/>
                <w:lang w:val="en-US" w:eastAsia="zh-CN"/>
              </w:rPr>
            </w:pPr>
            <w:r>
              <w:rPr>
                <w:rFonts w:ascii="Times New Roman" w:cs="Times New Roman" w:hAnsi="Times New Roman" w:hint="eastAsia"/>
                <w:snapToGrid/>
                <w:color w:val="auto"/>
                <w:lang w:val="en-US" w:eastAsia="zh-CN"/>
              </w:rPr>
              <w:t>可提供自研消息队列组件（满足国产化要求），并具备灾备功能，支持灾备切换服务。</w:t>
            </w:r>
          </w:p>
          <w:p>
            <w:pPr>
              <w:widowControl w:val="0"/>
              <w:kinsoku/>
              <w:autoSpaceDE/>
              <w:autoSpaceDN/>
              <w:adjustRightInd/>
              <w:snapToGrid/>
              <w:jc w:val="left"/>
              <w:textAlignment w:val="auto"/>
              <w:rPr>
                <w:rFonts w:ascii="Times New Roman" w:cs="宋体" w:hAnsi="Times New Roman" w:hint="eastAsia"/>
                <w:snapToGrid/>
                <w:color w:val="EE0000"/>
                <w:lang w:val="en-US" w:eastAsia="zh-CN"/>
              </w:rPr>
            </w:pPr>
            <w:r>
              <w:rPr>
                <w:rFonts w:ascii="Times New Roman" w:cs="宋体" w:hAnsi="Times New Roman" w:hint="eastAsia"/>
                <w:snapToGrid/>
                <w:color w:val="auto"/>
                <w:lang w:eastAsia="zh-CN"/>
              </w:rPr>
              <w:t>满足得</w:t>
            </w:r>
            <w:r>
              <w:rPr>
                <w:rFonts w:ascii="Times New Roman" w:cs="宋体" w:hAnsi="Times New Roman"/>
                <w:snapToGrid/>
                <w:color w:val="auto"/>
                <w:lang w:val="en-US" w:eastAsia="zh-CN"/>
              </w:rPr>
              <w:t>2</w:t>
            </w:r>
            <w:r>
              <w:rPr>
                <w:rFonts w:ascii="Times New Roman" w:cs="宋体" w:hAnsi="Times New Roman" w:hint="eastAsia"/>
                <w:snapToGrid/>
                <w:color w:val="auto"/>
                <w:lang w:eastAsia="zh-CN"/>
              </w:rPr>
              <w:t>分，不满足得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r>
              <w:rPr>
                <w:rFonts w:ascii="Times New Roman" w:cs="宋体" w:hAnsi="Times New Roman"/>
                <w:snapToGrid/>
                <w:color w:val="auto"/>
                <w:lang w:eastAsia="zh-CN"/>
              </w:rPr>
              <w:t>。</w:t>
            </w:r>
          </w:p>
        </w:tc>
        <w:tc>
          <w:tcPr>
            <w:tcW w:w="705" w:type="dxa"/>
            <w:vAlign w:val="center"/>
          </w:tcPr>
          <w:p>
            <w:pPr>
              <w:widowControl w:val="0"/>
              <w:kinsoku/>
              <w:autoSpaceDE/>
              <w:autoSpaceDN/>
              <w:adjustRightInd/>
              <w:snapToGrid/>
              <w:jc w:val="center"/>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2</w:t>
            </w:r>
          </w:p>
        </w:tc>
      </w:tr>
      <w:tr>
        <w:trPr>
          <w:trHeight w:val="138"/>
        </w:trPr>
        <w:tc>
          <w:tcPr>
            <w:tcW w:w="827" w:type="dxa"/>
            <w:shd w:val="clear" w:color="auto" w:fill="auto"/>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8</w:t>
            </w:r>
          </w:p>
        </w:tc>
        <w:tc>
          <w:tcPr>
            <w:tcW w:w="1949" w:type="dxa"/>
            <w:shd w:val="clear" w:color="auto" w:fill="auto"/>
            <w:vAlign w:val="center"/>
          </w:tcPr>
          <w:p>
            <w:pPr>
              <w:widowControl w:val="0"/>
              <w:kinsoku/>
              <w:autoSpaceDE/>
              <w:autoSpaceDN/>
              <w:adjustRightInd/>
              <w:snapToGrid/>
              <w:jc w:val="center"/>
              <w:textAlignment w:val="auto"/>
              <w:rPr>
                <w:rFonts w:ascii="Times New Roman" w:cs="宋体" w:hAnsi="Times New Roman" w:hint="eastAsia"/>
                <w:snapToGrid/>
                <w:color w:val="auto"/>
                <w:lang w:eastAsia="zh-CN"/>
              </w:rPr>
            </w:pPr>
            <w:r>
              <w:rPr>
                <w:rFonts w:ascii="Times New Roman" w:eastAsia="宋体" w:cs="宋体" w:hAnsi="Times New Roman" w:hint="eastAsia"/>
                <w:b w:val="0"/>
                <w:bCs w:val="0"/>
                <w:sz w:val="24"/>
                <w:szCs w:val="24"/>
              </w:rPr>
              <w:t>计算服务兼容</w:t>
            </w:r>
          </w:p>
        </w:tc>
        <w:tc>
          <w:tcPr>
            <w:tcW w:w="5011" w:type="dxa"/>
            <w:shd w:val="clear" w:color="auto" w:fill="auto"/>
            <w:vAlign w:val="center"/>
          </w:tcPr>
          <w:p>
            <w:pPr>
              <w:widowControl w:val="0"/>
              <w:kinsoku/>
              <w:autoSpaceDE/>
              <w:autoSpaceDN/>
              <w:adjustRightInd/>
              <w:snapToGrid/>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确保有能力在异构数据库间采集数据，即时计算、整合至目标数据库或数据仓库；</w:t>
            </w:r>
            <w:r>
              <w:rPr>
                <w:rFonts w:ascii="Times New Roman" w:cs="宋体" w:hAnsi="Times New Roman" w:hint="eastAsia"/>
                <w:snapToGrid/>
                <w:color w:val="auto"/>
                <w:lang w:eastAsia="zh-CN"/>
              </w:rPr>
              <w:t>支持多表增量关联计算服务（全表关联），支持数据量较大的表分批计算服务（大表分批处理）</w:t>
            </w:r>
          </w:p>
          <w:p>
            <w:pPr>
              <w:widowControl w:val="0"/>
              <w:kinsoku/>
              <w:autoSpaceDE/>
              <w:autoSpaceDN/>
              <w:adjustRightInd/>
              <w:snapToGrid/>
              <w:textAlignment w:val="auto"/>
              <w:rPr>
                <w:rFonts w:ascii="Times New Roman" w:cs="宋体" w:hAnsi="Times New Roman"/>
                <w:snapToGrid/>
                <w:color w:val="auto"/>
                <w:lang w:eastAsia="zh-CN"/>
              </w:rPr>
            </w:pPr>
            <w:r>
              <w:rPr>
                <w:rFonts w:ascii="Times New Roman" w:cs="宋体" w:hAnsi="Times New Roman" w:hint="eastAsia"/>
                <w:snapToGrid/>
                <w:color w:val="auto"/>
                <w:lang w:eastAsia="zh-CN"/>
              </w:rPr>
              <w:t>满足得</w:t>
            </w:r>
            <w:r>
              <w:rPr>
                <w:rFonts w:ascii="Times New Roman" w:cs="宋体" w:hAnsi="Times New Roman" w:hint="eastAsia"/>
                <w:snapToGrid/>
                <w:color w:val="auto"/>
                <w:lang w:val="en-US" w:eastAsia="zh-CN"/>
              </w:rPr>
              <w:t>4</w:t>
            </w:r>
            <w:r>
              <w:rPr>
                <w:rFonts w:ascii="Times New Roman" w:cs="宋体" w:hAnsi="Times New Roman" w:hint="eastAsia"/>
                <w:snapToGrid/>
                <w:color w:val="auto"/>
                <w:lang w:eastAsia="zh-CN"/>
              </w:rPr>
              <w:t>分，不满足得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r>
              <w:rPr>
                <w:rFonts w:ascii="Times New Roman" w:cs="宋体" w:hAnsi="Times New Roman"/>
                <w:snapToGrid/>
                <w:color w:val="auto"/>
                <w:lang w:eastAsia="zh-CN"/>
              </w:rPr>
              <w:t>。</w:t>
            </w:r>
          </w:p>
        </w:tc>
        <w:tc>
          <w:tcPr>
            <w:tcW w:w="705" w:type="dxa"/>
            <w:shd w:val="clear" w:color="auto" w:fill="auto"/>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4</w:t>
            </w:r>
          </w:p>
        </w:tc>
      </w:tr>
      <w:tr>
        <w:trPr>
          <w:trHeight w:val="138"/>
        </w:trPr>
        <w:tc>
          <w:tcPr>
            <w:tcW w:w="827" w:type="dxa"/>
            <w:shd w:val="clear" w:color="auto" w:fill="auto"/>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9</w:t>
            </w:r>
          </w:p>
        </w:tc>
        <w:tc>
          <w:tcPr>
            <w:tcW w:w="1949" w:type="dxa"/>
            <w:shd w:val="clear" w:color="auto" w:fill="auto"/>
            <w:vAlign w:val="center"/>
          </w:tcPr>
          <w:p>
            <w:pPr>
              <w:widowControl w:val="0"/>
              <w:kinsoku/>
              <w:autoSpaceDE/>
              <w:autoSpaceDN/>
              <w:adjustRightInd/>
              <w:snapToGrid/>
              <w:jc w:val="center"/>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eastAsia="zh-CN"/>
              </w:rPr>
              <w:t>支持分布式部署和横向扩展</w:t>
            </w:r>
          </w:p>
        </w:tc>
        <w:tc>
          <w:tcPr>
            <w:tcW w:w="5011" w:type="dxa"/>
            <w:shd w:val="clear" w:color="auto" w:fill="auto"/>
            <w:vAlign w:val="center"/>
          </w:tcPr>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1.支持分布式部署，每个节点按需合理分配资源，提高发布、加工、计算、订阅等功能得资源使用率，避免出现单个节点资源占用率过高，造成节点堵塞等。</w:t>
            </w:r>
          </w:p>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2.当单个服务器的处理能力达到瓶颈时，增加系统中相同类型组件（如服务器、节点等）的数量，来提高系统的处理能力、存储容量和性能。</w:t>
            </w:r>
          </w:p>
          <w:p>
            <w:pPr>
              <w:widowControl w:val="0"/>
              <w:kinsoku/>
              <w:autoSpaceDE/>
              <w:autoSpaceDN/>
              <w:adjustRightInd/>
              <w:snapToGrid/>
              <w:textAlignment w:val="auto"/>
              <w:rPr>
                <w:rFonts w:ascii="Times New Roman" w:cs="宋体" w:hAnsi="Times New Roman"/>
                <w:snapToGrid/>
                <w:color w:val="auto"/>
                <w:lang w:eastAsia="zh-CN"/>
              </w:rPr>
            </w:pPr>
            <w:r>
              <w:rPr>
                <w:rFonts w:ascii="Times New Roman" w:cs="宋体" w:hAnsi="Times New Roman" w:hint="eastAsia"/>
                <w:snapToGrid/>
                <w:color w:val="auto"/>
                <w:lang w:eastAsia="zh-CN"/>
              </w:rPr>
              <w:t>全部满足得</w:t>
            </w:r>
            <w:r>
              <w:rPr>
                <w:rFonts w:ascii="Times New Roman" w:cs="宋体" w:hAnsi="Times New Roman" w:hint="eastAsia"/>
                <w:snapToGrid/>
                <w:color w:val="auto"/>
                <w:lang w:val="en-US" w:eastAsia="zh-CN"/>
              </w:rPr>
              <w:t>8</w:t>
            </w:r>
            <w:r>
              <w:rPr>
                <w:rFonts w:ascii="Times New Roman" w:cs="宋体" w:hAnsi="Times New Roman" w:hint="eastAsia"/>
                <w:snapToGrid/>
                <w:color w:val="auto"/>
                <w:lang w:eastAsia="zh-CN"/>
              </w:rPr>
              <w:t>分，部分满足得</w:t>
            </w:r>
            <w:r>
              <w:rPr>
                <w:rFonts w:ascii="Times New Roman" w:cs="宋体" w:hAnsi="Times New Roman" w:hint="eastAsia"/>
                <w:snapToGrid/>
                <w:color w:val="auto"/>
                <w:lang w:val="en-US" w:eastAsia="zh-CN"/>
              </w:rPr>
              <w:t>4</w:t>
            </w:r>
            <w:r>
              <w:rPr>
                <w:rFonts w:ascii="Times New Roman" w:cs="宋体" w:hAnsi="Times New Roman" w:hint="eastAsia"/>
                <w:snapToGrid/>
                <w:color w:val="auto"/>
                <w:lang w:eastAsia="zh-CN"/>
              </w:rPr>
              <w:t>分</w:t>
            </w:r>
            <w:r>
              <w:rPr>
                <w:rFonts w:ascii="Times New Roman" w:cs="宋体" w:hAnsi="Times New Roman"/>
                <w:snapToGrid/>
                <w:color w:val="auto"/>
                <w:lang w:eastAsia="zh-CN"/>
              </w:rPr>
              <w:t>，</w:t>
            </w:r>
            <w:r>
              <w:rPr>
                <w:rFonts w:ascii="Times New Roman" w:cs="宋体" w:hAnsi="Times New Roman" w:hint="eastAsia"/>
                <w:snapToGrid/>
                <w:color w:val="auto"/>
                <w:lang w:eastAsia="zh-CN"/>
              </w:rPr>
              <w:t>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shd w:val="clear" w:color="auto" w:fill="auto"/>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8</w:t>
            </w:r>
          </w:p>
        </w:tc>
      </w:tr>
      <w:tr>
        <w:trPr>
          <w:trHeight w:val="138"/>
        </w:trPr>
        <w:tc>
          <w:tcPr>
            <w:tcW w:w="827" w:type="dxa"/>
            <w:shd w:val="clear" w:color="auto" w:fill="auto"/>
            <w:vAlign w:val="center"/>
          </w:tcPr>
          <w:p>
            <w:pPr>
              <w:widowControl w:val="0"/>
              <w:kinsoku/>
              <w:autoSpaceDE/>
              <w:autoSpaceDN/>
              <w:adjustRightInd/>
              <w:snapToGrid/>
              <w:jc w:val="both"/>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10</w:t>
            </w:r>
          </w:p>
        </w:tc>
        <w:tc>
          <w:tcPr>
            <w:tcW w:w="1949" w:type="dxa"/>
            <w:shd w:val="clear" w:color="auto" w:fill="auto"/>
            <w:vAlign w:val="center"/>
          </w:tcPr>
          <w:p>
            <w:pPr>
              <w:widowControl w:val="0"/>
              <w:kinsoku/>
              <w:autoSpaceDE/>
              <w:autoSpaceDN/>
              <w:adjustRightInd/>
              <w:snapToGrid/>
              <w:jc w:val="center"/>
              <w:textAlignment w:val="auto"/>
              <w:rPr>
                <w:rFonts w:ascii="Times New Roman" w:cs="宋体" w:hAnsi="Times New Roman" w:hint="eastAsia"/>
                <w:snapToGrid/>
                <w:color w:val="auto"/>
                <w:lang w:val="en-US" w:eastAsia="zh-CN"/>
              </w:rPr>
            </w:pPr>
            <w:r>
              <w:rPr>
                <w:rFonts w:ascii="Times New Roman" w:cs="宋体" w:hAnsi="Times New Roman" w:hint="eastAsia"/>
                <w:snapToGrid/>
                <w:color w:val="auto"/>
                <w:lang w:eastAsia="zh-CN"/>
              </w:rPr>
              <w:t>数据对象溯源功能</w:t>
            </w:r>
            <w:r>
              <w:rPr>
                <w:rFonts w:ascii="Times New Roman" w:cs="宋体" w:hAnsi="Times New Roman" w:hint="eastAsia"/>
                <w:snapToGrid/>
                <w:color w:val="auto"/>
                <w:lang w:val="en-US" w:eastAsia="zh-CN"/>
              </w:rPr>
              <w:t>和</w:t>
            </w:r>
            <w:r>
              <w:rPr>
                <w:rFonts w:ascii="Times New Roman" w:cs="宋体" w:hAnsi="Times New Roman" w:hint="eastAsia"/>
                <w:snapToGrid/>
                <w:color w:val="auto"/>
                <w:lang w:eastAsia="zh-CN"/>
              </w:rPr>
              <w:t>预警策略</w:t>
            </w:r>
          </w:p>
        </w:tc>
        <w:tc>
          <w:tcPr>
            <w:tcW w:w="5011" w:type="dxa"/>
            <w:shd w:val="clear" w:color="auto" w:fill="auto"/>
            <w:vAlign w:val="center"/>
          </w:tcPr>
          <w:p>
            <w:pPr>
              <w:widowControl w:val="0"/>
              <w:kinsoku/>
              <w:autoSpaceDE/>
              <w:autoSpaceDN/>
              <w:adjustRightInd/>
              <w:snapToGrid/>
              <w:jc w:val="left"/>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1.支持</w:t>
            </w:r>
            <w:r>
              <w:rPr>
                <w:rFonts w:ascii="Times New Roman" w:cs="宋体" w:hAnsi="Times New Roman" w:hint="eastAsia"/>
                <w:snapToGrid/>
                <w:color w:val="auto"/>
                <w:lang w:eastAsia="zh-CN"/>
              </w:rPr>
              <w:t>表、ip地址、用户名等可以作为溯源对象，输入相关信息，可核查流转痕迹，帮助用户追踪相关数据流信息。</w:t>
            </w:r>
          </w:p>
          <w:p>
            <w:pPr>
              <w:widowControl w:val="0"/>
              <w:kinsoku/>
              <w:autoSpaceDE/>
              <w:autoSpaceDN/>
              <w:adjustRightInd/>
              <w:snapToGrid/>
              <w:jc w:val="left"/>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2.支持</w:t>
            </w:r>
            <w:r>
              <w:rPr>
                <w:rFonts w:ascii="Times New Roman" w:cs="宋体" w:hAnsi="Times New Roman" w:hint="eastAsia"/>
                <w:snapToGrid/>
                <w:color w:val="auto"/>
                <w:lang w:eastAsia="zh-CN"/>
              </w:rPr>
              <w:t>在实时数据同步任务过程中出现的报错、状态变化等信息，应能通过短信、邮件等方式与自有预警平台对接，实现及时预警。</w:t>
            </w:r>
          </w:p>
          <w:p>
            <w:pPr>
              <w:widowControl w:val="0"/>
              <w:kinsoku/>
              <w:autoSpaceDE/>
              <w:autoSpaceDN/>
              <w:adjustRightInd/>
              <w:snapToGrid/>
              <w:jc w:val="left"/>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eastAsia="zh-CN"/>
              </w:rPr>
              <w:t>全部满足得</w:t>
            </w:r>
            <w:r>
              <w:rPr>
                <w:rFonts w:ascii="Times New Roman" w:cs="宋体" w:hAnsi="Times New Roman" w:hint="eastAsia"/>
                <w:snapToGrid/>
                <w:color w:val="auto"/>
                <w:lang w:val="en-US" w:eastAsia="zh-CN"/>
              </w:rPr>
              <w:t>4</w:t>
            </w:r>
            <w:r>
              <w:rPr>
                <w:rFonts w:ascii="Times New Roman" w:cs="宋体" w:hAnsi="Times New Roman" w:hint="eastAsia"/>
                <w:snapToGrid/>
                <w:color w:val="auto"/>
                <w:lang w:eastAsia="zh-CN"/>
              </w:rPr>
              <w:t>分，不满足得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shd w:val="clear" w:color="auto" w:fill="auto"/>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4</w:t>
            </w:r>
          </w:p>
        </w:tc>
      </w:tr>
      <w:tr>
        <w:trPr>
          <w:trHeight w:val="138"/>
        </w:trPr>
        <w:tc>
          <w:tcPr>
            <w:tcW w:w="827" w:type="dxa"/>
            <w:shd w:val="clear" w:color="auto" w:fill="auto"/>
            <w:vAlign w:val="center"/>
          </w:tcPr>
          <w:p>
            <w:pPr>
              <w:widowControl w:val="0"/>
              <w:kinsoku/>
              <w:autoSpaceDE/>
              <w:autoSpaceDN/>
              <w:adjustRightInd/>
              <w:snapToGrid/>
              <w:jc w:val="both"/>
              <w:textAlignment w:val="auto"/>
              <w:rPr>
                <w:rFonts w:ascii="Times New Roman" w:eastAsia="宋体" w:cs="Times New Roman" w:hAnsi="Times New Roman"/>
                <w:snapToGrid/>
                <w:color w:val="auto"/>
                <w:kern w:val="2"/>
                <w:sz w:val="21"/>
                <w:szCs w:val="21"/>
                <w:lang w:val="en-US" w:eastAsia="zh-CN" w:bidi="ar-SA"/>
              </w:rPr>
            </w:pPr>
            <w:r>
              <w:rPr>
                <w:rFonts w:ascii="Times New Roman" w:cs="宋体" w:hAnsi="Times New Roman" w:hint="eastAsia"/>
                <w:snapToGrid/>
                <w:color w:val="auto"/>
                <w:kern w:val="2"/>
                <w:lang w:val="en-US" w:eastAsia="zh-CN"/>
              </w:rPr>
              <w:t>11</w:t>
            </w:r>
          </w:p>
        </w:tc>
        <w:tc>
          <w:tcPr>
            <w:tcW w:w="1949" w:type="dxa"/>
            <w:shd w:val="clear" w:color="auto" w:fill="auto"/>
            <w:vAlign w:val="center"/>
          </w:tcPr>
          <w:p>
            <w:pPr>
              <w:widowControl w:val="0"/>
              <w:kinsoku/>
              <w:autoSpaceDE/>
              <w:autoSpaceDN/>
              <w:adjustRightInd/>
              <w:snapToGrid/>
              <w:jc w:val="center"/>
              <w:textAlignment w:val="auto"/>
              <w:rPr>
                <w:rFonts w:ascii="Times New Roman" w:eastAsia="宋体" w:cs="Times New Roman" w:hAnsi="Times New Roman"/>
                <w:snapToGrid/>
                <w:color w:val="auto"/>
                <w:kern w:val="0"/>
                <w:sz w:val="21"/>
                <w:szCs w:val="21"/>
                <w:lang w:val="en-US" w:eastAsia="zh-CN" w:bidi="ar-SA"/>
              </w:rPr>
            </w:pPr>
            <w:r>
              <w:rPr>
                <w:rFonts w:ascii="Times New Roman" w:cs="宋体" w:hAnsi="Times New Roman" w:hint="eastAsia"/>
                <w:snapToGrid/>
                <w:color w:val="auto"/>
                <w:lang w:eastAsia="zh-CN"/>
              </w:rPr>
              <w:t>与</w:t>
            </w:r>
            <w:r>
              <w:rPr>
                <w:rFonts w:ascii="Times New Roman" w:cs="宋体" w:hAnsi="Times New Roman"/>
                <w:snapToGrid/>
                <w:color w:val="auto"/>
                <w:lang w:eastAsia="zh-CN"/>
              </w:rPr>
              <w:t>GBase</w:t>
            </w:r>
            <w:r>
              <w:rPr>
                <w:rFonts w:ascii="Times New Roman" w:cs="宋体" w:hAnsi="Times New Roman" w:hint="eastAsia"/>
                <w:snapToGrid/>
                <w:color w:val="auto"/>
                <w:lang w:eastAsia="zh-CN"/>
              </w:rPr>
              <w:t>数据库对接（重要）</w:t>
            </w:r>
          </w:p>
        </w:tc>
        <w:tc>
          <w:tcPr>
            <w:tcW w:w="5011" w:type="dxa"/>
            <w:shd w:val="clear" w:color="auto" w:fill="auto"/>
            <w:vAlign w:val="center"/>
          </w:tcPr>
          <w:p>
            <w:pPr>
              <w:widowControl w:val="0"/>
              <w:kinsoku/>
              <w:autoSpaceDE/>
              <w:autoSpaceDN/>
              <w:adjustRightInd/>
              <w:snapToGrid/>
              <w:textAlignment w:val="auto"/>
              <w:rPr>
                <w:rFonts w:ascii="Times New Roman" w:eastAsia="宋体" w:cs="Times New Roman" w:hAnsi="Times New Roman" w:hint="eastAsia"/>
                <w:snapToGrid/>
                <w:color w:val="auto"/>
                <w:kern w:val="0"/>
                <w:sz w:val="21"/>
                <w:szCs w:val="21"/>
                <w:lang w:val="en-US" w:eastAsia="zh-CN" w:bidi="ar-SA"/>
              </w:rPr>
            </w:pPr>
            <w:r>
              <w:rPr>
                <w:rFonts w:ascii="Times New Roman" w:cs="宋体" w:hAnsi="Times New Roman"/>
                <w:snapToGrid/>
                <w:color w:val="auto"/>
                <w:lang w:eastAsia="zh-CN"/>
              </w:rPr>
              <w:t>GBase</w:t>
            </w:r>
            <w:r>
              <w:rPr>
                <w:rFonts w:ascii="Times New Roman" w:cs="宋体" w:hAnsi="Times New Roman" w:hint="eastAsia"/>
                <w:snapToGrid/>
                <w:color w:val="auto"/>
                <w:lang w:eastAsia="zh-CN"/>
              </w:rPr>
              <w:t>作为数据底盘最主要的数据源，工具可使用</w:t>
            </w:r>
            <w:r>
              <w:rPr>
                <w:rFonts w:ascii="Times New Roman" w:cs="宋体" w:hAnsi="Times New Roman"/>
                <w:snapToGrid/>
                <w:color w:val="auto"/>
                <w:lang w:eastAsia="zh-CN"/>
              </w:rPr>
              <w:t>jdbc</w:t>
            </w:r>
            <w:r>
              <w:rPr>
                <w:rFonts w:ascii="Times New Roman" w:cs="宋体" w:hAnsi="Times New Roman" w:hint="eastAsia"/>
                <w:snapToGrid/>
                <w:color w:val="auto"/>
                <w:lang w:eastAsia="zh-CN"/>
              </w:rPr>
              <w:t>或者</w:t>
            </w:r>
            <w:r>
              <w:rPr>
                <w:rFonts w:ascii="Times New Roman" w:cs="宋体" w:hAnsi="Times New Roman"/>
                <w:snapToGrid/>
                <w:color w:val="auto"/>
                <w:lang w:eastAsia="zh-CN"/>
              </w:rPr>
              <w:t>odbc</w:t>
            </w:r>
            <w:r>
              <w:rPr>
                <w:rFonts w:ascii="Times New Roman" w:cs="宋体" w:hAnsi="Times New Roman" w:hint="eastAsia"/>
                <w:snapToGrid/>
                <w:color w:val="auto"/>
                <w:lang w:eastAsia="zh-CN"/>
              </w:rPr>
              <w:t>中间件与</w:t>
            </w:r>
            <w:r>
              <w:rPr>
                <w:rFonts w:ascii="Times New Roman" w:cs="宋体" w:hAnsi="Times New Roman"/>
                <w:snapToGrid/>
                <w:color w:val="auto"/>
                <w:lang w:eastAsia="zh-CN"/>
              </w:rPr>
              <w:t>GBase</w:t>
            </w:r>
            <w:r>
              <w:rPr>
                <w:rFonts w:ascii="Times New Roman" w:cs="宋体" w:hAnsi="Times New Roman" w:hint="eastAsia"/>
                <w:snapToGrid/>
                <w:color w:val="auto"/>
                <w:lang w:eastAsia="zh-CN"/>
              </w:rPr>
              <w:t>数据库对接，实现以</w:t>
            </w:r>
            <w:r>
              <w:rPr>
                <w:rFonts w:ascii="Times New Roman" w:cs="宋体" w:hAnsi="Times New Roman"/>
                <w:snapToGrid/>
                <w:color w:val="auto"/>
                <w:lang w:eastAsia="zh-CN"/>
              </w:rPr>
              <w:t>GBase</w:t>
            </w:r>
            <w:r>
              <w:rPr>
                <w:rFonts w:ascii="Times New Roman" w:cs="宋体" w:hAnsi="Times New Roman" w:hint="eastAsia"/>
                <w:snapToGrid/>
                <w:color w:val="auto"/>
                <w:lang w:eastAsia="zh-CN"/>
              </w:rPr>
              <w:t>为源端和目标端的异构数据同步。支持</w:t>
            </w:r>
            <w:r>
              <w:rPr>
                <w:rFonts w:ascii="Times New Roman" w:cs="宋体" w:hAnsi="Times New Roman"/>
                <w:snapToGrid/>
                <w:color w:val="auto"/>
                <w:lang w:eastAsia="zh-CN"/>
              </w:rPr>
              <w:t>jdbc</w:t>
            </w:r>
            <w:r>
              <w:rPr>
                <w:rFonts w:ascii="Times New Roman" w:cs="宋体" w:hAnsi="Times New Roman" w:hint="eastAsia"/>
                <w:snapToGrid/>
                <w:color w:val="auto"/>
                <w:lang w:eastAsia="zh-CN"/>
              </w:rPr>
              <w:t>得</w:t>
            </w:r>
            <w:r>
              <w:rPr>
                <w:rFonts w:ascii="Times New Roman" w:cs="宋体" w:hAnsi="Times New Roman" w:hint="eastAsia"/>
                <w:snapToGrid/>
                <w:color w:val="auto"/>
                <w:lang w:val="en-US" w:eastAsia="zh-CN"/>
              </w:rPr>
              <w:t>5</w:t>
            </w:r>
            <w:r>
              <w:rPr>
                <w:rFonts w:ascii="Times New Roman" w:cs="宋体" w:hAnsi="Times New Roman" w:hint="eastAsia"/>
                <w:snapToGrid/>
                <w:color w:val="auto"/>
                <w:lang w:eastAsia="zh-CN"/>
              </w:rPr>
              <w:t>分，支持</w:t>
            </w:r>
            <w:r>
              <w:rPr>
                <w:rFonts w:ascii="Times New Roman" w:cs="宋体" w:hAnsi="Times New Roman"/>
                <w:snapToGrid/>
                <w:color w:val="auto"/>
                <w:lang w:eastAsia="zh-CN"/>
              </w:rPr>
              <w:t>odbc</w:t>
            </w:r>
            <w:r>
              <w:rPr>
                <w:rFonts w:ascii="Times New Roman" w:cs="宋体" w:hAnsi="Times New Roman" w:hint="eastAsia"/>
                <w:snapToGrid/>
                <w:color w:val="auto"/>
                <w:lang w:eastAsia="zh-CN"/>
              </w:rPr>
              <w:t>的得</w:t>
            </w:r>
            <w:r>
              <w:rPr>
                <w:rFonts w:ascii="Times New Roman" w:cs="宋体" w:hAnsi="Times New Roman" w:hint="eastAsia"/>
                <w:snapToGrid/>
                <w:color w:val="auto"/>
                <w:lang w:val="en-US" w:eastAsia="zh-CN"/>
              </w:rPr>
              <w:t>5</w:t>
            </w:r>
            <w:r>
              <w:rPr>
                <w:rFonts w:ascii="Times New Roman" w:cs="宋体" w:hAnsi="Times New Roman" w:hint="eastAsia"/>
                <w:snapToGrid/>
                <w:color w:val="auto"/>
                <w:lang w:eastAsia="zh-CN"/>
              </w:rPr>
              <w:t>分，两者都支持的得</w:t>
            </w:r>
            <w:r>
              <w:rPr>
                <w:rFonts w:ascii="Times New Roman" w:cs="宋体" w:hAnsi="Times New Roman" w:hint="eastAsia"/>
                <w:snapToGrid/>
                <w:color w:val="auto"/>
                <w:lang w:val="en-US" w:eastAsia="zh-CN"/>
              </w:rPr>
              <w:t>10</w:t>
            </w:r>
            <w:r>
              <w:rPr>
                <w:rFonts w:ascii="Times New Roman" w:cs="宋体" w:hAnsi="Times New Roman" w:hint="eastAsia"/>
                <w:snapToGrid/>
                <w:color w:val="auto"/>
                <w:lang w:eastAsia="zh-CN"/>
              </w:rPr>
              <w:t>分。</w:t>
            </w:r>
          </w:p>
        </w:tc>
        <w:tc>
          <w:tcPr>
            <w:tcW w:w="705" w:type="dxa"/>
            <w:shd w:val="clear" w:color="auto" w:fill="auto"/>
            <w:vAlign w:val="center"/>
          </w:tcPr>
          <w:p>
            <w:pPr>
              <w:widowControl w:val="0"/>
              <w:kinsoku/>
              <w:autoSpaceDE/>
              <w:autoSpaceDN/>
              <w:adjustRightInd/>
              <w:snapToGrid/>
              <w:jc w:val="center"/>
              <w:textAlignment w:val="auto"/>
              <w:rPr>
                <w:rFonts w:ascii="Times New Roman" w:eastAsia="宋体" w:cs="Times New Roman" w:hAnsi="Times New Roman" w:hint="eastAsia"/>
                <w:snapToGrid/>
                <w:color w:val="auto"/>
                <w:kern w:val="2"/>
                <w:sz w:val="21"/>
                <w:szCs w:val="21"/>
                <w:lang w:val="en-US" w:eastAsia="zh-CN" w:bidi="ar-SA"/>
              </w:rPr>
            </w:pPr>
            <w:r>
              <w:rPr>
                <w:rFonts w:ascii="Times New Roman" w:cs="Times New Roman" w:hAnsi="Times New Roman" w:hint="eastAsia"/>
                <w:snapToGrid/>
                <w:color w:val="auto"/>
                <w:kern w:val="2"/>
                <w:lang w:val="en-US" w:eastAsia="zh-CN"/>
              </w:rPr>
              <w:t>10</w:t>
            </w:r>
          </w:p>
        </w:tc>
      </w:tr>
      <w:tr>
        <w:trPr>
          <w:trHeight w:val="138"/>
        </w:trPr>
        <w:tc>
          <w:tcPr>
            <w:tcW w:w="827" w:type="dxa"/>
            <w:shd w:val="clear" w:color="auto" w:fill="auto"/>
            <w:vAlign w:val="center"/>
          </w:tcPr>
          <w:p>
            <w:pPr>
              <w:widowControl w:val="0"/>
              <w:kinsoku/>
              <w:autoSpaceDE/>
              <w:autoSpaceDN/>
              <w:adjustRightInd/>
              <w:snapToGrid/>
              <w:jc w:val="both"/>
              <w:textAlignment w:val="auto"/>
              <w:rPr>
                <w:rFonts w:ascii="Times New Roman" w:cs="Times New Roman" w:hAnsi="Times New Roman"/>
                <w:snapToGrid/>
                <w:color w:val="auto"/>
                <w:kern w:val="2"/>
                <w:lang w:val="en-US" w:eastAsia="zh-CN"/>
              </w:rPr>
            </w:pPr>
            <w:r>
              <w:rPr>
                <w:rFonts w:ascii="Times New Roman" w:cs="宋体" w:hAnsi="Times New Roman" w:hint="eastAsia"/>
                <w:snapToGrid/>
                <w:color w:val="auto"/>
                <w:kern w:val="2"/>
                <w:lang w:val="en-US" w:eastAsia="zh-CN"/>
              </w:rPr>
              <w:t>1</w:t>
            </w:r>
            <w:r>
              <w:rPr>
                <w:rFonts w:ascii="Times New Roman" w:cs="宋体" w:hAnsi="Times New Roman"/>
                <w:snapToGrid/>
                <w:color w:val="auto"/>
                <w:kern w:val="2"/>
                <w:lang w:val="en-US" w:eastAsia="zh-CN"/>
              </w:rPr>
              <w:t>2</w:t>
            </w:r>
          </w:p>
        </w:tc>
        <w:tc>
          <w:tcPr>
            <w:tcW w:w="1949" w:type="dxa"/>
            <w:shd w:val="clear" w:color="auto" w:fill="auto"/>
            <w:vAlign w:val="center"/>
          </w:tcPr>
          <w:p>
            <w:pPr>
              <w:widowControl w:val="0"/>
              <w:kinsoku/>
              <w:autoSpaceDE/>
              <w:autoSpaceDN/>
              <w:adjustRightInd/>
              <w:snapToGrid/>
              <w:jc w:val="center"/>
              <w:textAlignment w:val="auto"/>
              <w:rPr>
                <w:rFonts w:ascii="Times New Roman" w:cs="Times New Roman" w:hAnsi="Times New Roman"/>
                <w:snapToGrid/>
                <w:color w:val="auto"/>
                <w:lang w:eastAsia="zh-CN"/>
              </w:rPr>
            </w:pPr>
            <w:r>
              <w:rPr>
                <w:rFonts w:ascii="Times New Roman" w:cs="宋体" w:hAnsi="Times New Roman"/>
                <w:snapToGrid/>
                <w:color w:val="auto"/>
                <w:lang w:eastAsia="zh-CN"/>
              </w:rPr>
              <w:t>GBase</w:t>
            </w:r>
            <w:r>
              <w:rPr>
                <w:rFonts w:ascii="Times New Roman" w:cs="宋体" w:hAnsi="Times New Roman" w:hint="eastAsia"/>
                <w:snapToGrid/>
                <w:color w:val="auto"/>
                <w:lang w:eastAsia="zh-CN"/>
              </w:rPr>
              <w:t>增量文件解析</w:t>
            </w:r>
            <w:r>
              <w:rPr>
                <w:rFonts w:ascii="Times New Roman" w:cs="宋体" w:hAnsi="Times New Roman"/>
                <w:snapToGrid/>
                <w:color w:val="auto"/>
                <w:lang w:eastAsia="zh-CN"/>
              </w:rPr>
              <w:t xml:space="preserve"> </w:t>
            </w:r>
            <w:r>
              <w:rPr>
                <w:rFonts w:ascii="Times New Roman" w:cs="宋体" w:hAnsi="Times New Roman" w:hint="eastAsia"/>
                <w:snapToGrid/>
                <w:color w:val="auto"/>
                <w:lang w:eastAsia="zh-CN"/>
              </w:rPr>
              <w:t>（重要）</w:t>
            </w:r>
          </w:p>
        </w:tc>
        <w:tc>
          <w:tcPr>
            <w:tcW w:w="5011" w:type="dxa"/>
            <w:shd w:val="clear" w:color="auto" w:fill="auto"/>
            <w:vAlign w:val="center"/>
          </w:tcPr>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Calibri" w:hAnsi="Times New Roman" w:hint="eastAsia"/>
                <w:snapToGrid/>
                <w:color w:val="auto"/>
                <w:kern w:val="2"/>
                <w:lang w:val="en-US" w:eastAsia="zh-CN"/>
              </w:rPr>
              <w:t>演示GBase 8a 数据库入库功能，</w:t>
            </w:r>
            <w:r>
              <w:rPr>
                <w:rFonts w:ascii="Times New Roman" w:cs="宋体" w:hAnsi="Times New Roman" w:hint="eastAsia"/>
                <w:snapToGrid/>
                <w:color w:val="auto"/>
                <w:lang w:eastAsia="zh-CN"/>
              </w:rPr>
              <w:t>此次采购的</w:t>
            </w:r>
            <w:r>
              <w:rPr>
                <w:rFonts w:ascii="Times New Roman" w:cs="宋体" w:hAnsi="Times New Roman" w:hint="eastAsia"/>
                <w:snapToGrid/>
                <w:color w:val="auto"/>
                <w:kern w:val="2"/>
                <w:lang w:eastAsia="zh-CN"/>
              </w:rPr>
              <w:t>工具</w:t>
            </w:r>
            <w:r>
              <w:rPr>
                <w:rFonts w:ascii="Times New Roman" w:cs="宋体" w:hAnsi="Times New Roman" w:hint="eastAsia"/>
                <w:snapToGrid/>
                <w:color w:val="auto"/>
                <w:kern w:val="2"/>
                <w:lang w:val="en-US" w:eastAsia="zh-CN"/>
              </w:rPr>
              <w:t>产品</w:t>
            </w:r>
            <w:r>
              <w:rPr>
                <w:rFonts w:ascii="Times New Roman" w:cs="宋体" w:hAnsi="Times New Roman" w:hint="eastAsia"/>
                <w:snapToGrid/>
                <w:color w:val="auto"/>
                <w:lang w:eastAsia="zh-CN"/>
              </w:rPr>
              <w:t>需要参照</w:t>
            </w:r>
            <w:r>
              <w:rPr>
                <w:rFonts w:ascii="Times New Roman" w:cs="宋体" w:hAnsi="Times New Roman"/>
                <w:snapToGrid/>
                <w:color w:val="auto"/>
                <w:lang w:eastAsia="zh-CN"/>
              </w:rPr>
              <w:t>GBase</w:t>
            </w:r>
            <w:r>
              <w:rPr>
                <w:rFonts w:ascii="Times New Roman" w:cs="宋体" w:hAnsi="Times New Roman" w:hint="eastAsia"/>
                <w:snapToGrid/>
                <w:color w:val="auto"/>
                <w:lang w:eastAsia="zh-CN"/>
              </w:rPr>
              <w:t>的方式读</w:t>
            </w:r>
            <w:r>
              <w:rPr>
                <w:rFonts w:ascii="Times New Roman" w:cs="宋体" w:hAnsi="Times New Roman" w:hint="eastAsia"/>
                <w:snapToGrid/>
                <w:color w:val="auto"/>
                <w:lang w:val="en-US" w:eastAsia="zh-CN"/>
              </w:rPr>
              <w:t>增量日志方式</w:t>
            </w:r>
            <w:r>
              <w:rPr>
                <w:rFonts w:ascii="Times New Roman" w:cs="宋体" w:hAnsi="Times New Roman" w:hint="eastAsia"/>
                <w:snapToGrid/>
                <w:color w:val="auto"/>
                <w:lang w:eastAsia="zh-CN"/>
              </w:rPr>
              <w:t>，将其写入目标端的数据库中。同时提供增量文件更新的日志记录回溯，故障定位和手工恢复等功能。</w:t>
            </w:r>
          </w:p>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val="en-US" w:eastAsia="zh-CN"/>
              </w:rPr>
              <w:t>提供播放视频演示（提供电子介质）。</w:t>
            </w:r>
            <w:r>
              <w:rPr>
                <w:rFonts w:ascii="Times New Roman" w:cs="宋体" w:hAnsi="Times New Roman" w:hint="eastAsia"/>
                <w:snapToGrid/>
                <w:color w:val="auto"/>
                <w:lang w:eastAsia="zh-CN"/>
              </w:rPr>
              <w:t>全部满足功能得1</w:t>
            </w:r>
            <w:r>
              <w:rPr>
                <w:rFonts w:ascii="Times New Roman" w:cs="宋体" w:hAnsi="Times New Roman" w:hint="eastAsia"/>
                <w:snapToGrid/>
                <w:color w:val="auto"/>
                <w:lang w:val="en-US" w:eastAsia="zh-CN"/>
              </w:rPr>
              <w:t>0</w:t>
            </w:r>
            <w:r>
              <w:rPr>
                <w:rFonts w:ascii="Times New Roman" w:cs="宋体" w:hAnsi="Times New Roman" w:hint="eastAsia"/>
                <w:snapToGrid/>
                <w:color w:val="auto"/>
                <w:lang w:eastAsia="zh-CN"/>
              </w:rPr>
              <w:t>分。部分满足</w:t>
            </w:r>
            <w:r>
              <w:rPr>
                <w:rFonts w:ascii="Times New Roman" w:cs="宋体" w:hAnsi="Times New Roman"/>
                <w:snapToGrid/>
                <w:color w:val="auto"/>
                <w:lang w:eastAsia="zh-CN"/>
              </w:rPr>
              <w:t>得5份，</w:t>
            </w:r>
            <w:r>
              <w:rPr>
                <w:rFonts w:ascii="Times New Roman" w:cs="宋体" w:hAnsi="Times New Roman" w:hint="eastAsia"/>
                <w:snapToGrid/>
                <w:color w:val="auto"/>
                <w:lang w:eastAsia="zh-CN"/>
              </w:rPr>
              <w:t>不满足得</w:t>
            </w:r>
            <w:r>
              <w:rPr>
                <w:rFonts w:ascii="Times New Roman" w:cs="宋体" w:hAnsi="Times New Roman"/>
                <w:snapToGrid/>
                <w:color w:val="auto"/>
                <w:lang w:eastAsia="zh-CN"/>
              </w:rPr>
              <w:t>0</w:t>
            </w:r>
            <w:r>
              <w:rPr>
                <w:rFonts w:ascii="Times New Roman" w:cs="宋体" w:hAnsi="Times New Roman" w:hint="eastAsia"/>
                <w:snapToGrid/>
                <w:color w:val="auto"/>
                <w:lang w:eastAsia="zh-CN"/>
              </w:rPr>
              <w:t>分。</w:t>
            </w:r>
          </w:p>
        </w:tc>
        <w:tc>
          <w:tcPr>
            <w:tcW w:w="705" w:type="dxa"/>
            <w:shd w:val="clear" w:color="auto" w:fill="auto"/>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宋体" w:hAnsi="Times New Roman" w:hint="eastAsia"/>
                <w:snapToGrid/>
                <w:color w:val="auto"/>
                <w:kern w:val="2"/>
                <w:lang w:eastAsia="zh-CN"/>
              </w:rPr>
              <w:t>1</w:t>
            </w:r>
            <w:r>
              <w:rPr>
                <w:rFonts w:ascii="Times New Roman" w:cs="宋体" w:hAnsi="Times New Roman" w:hint="eastAsia"/>
                <w:snapToGrid/>
                <w:color w:val="auto"/>
                <w:kern w:val="2"/>
                <w:lang w:val="en-US" w:eastAsia="zh-CN"/>
              </w:rPr>
              <w:t>0</w:t>
            </w:r>
          </w:p>
        </w:tc>
      </w:tr>
    </w:tbl>
    <w:p>
      <w:pPr>
        <w:kinsoku/>
        <w:topLinePunct/>
        <w:autoSpaceDE/>
        <w:autoSpaceDN/>
        <w:spacing w:line="360" w:lineRule="auto"/>
        <w:jc w:val="center"/>
        <w:outlineLvl w:val="1"/>
        <w:rPr>
          <w:rFonts w:ascii="Times New Roman" w:cs="宋体" w:hAnsi="Times New Roman" w:hint="eastAsia"/>
          <w:b/>
          <w:color w:val="auto"/>
          <w:spacing w:val="4"/>
          <w:sz w:val="31"/>
          <w:szCs w:val="31"/>
        </w:rPr>
      </w:pPr>
    </w:p>
    <w:p>
      <w:pPr>
        <w:kinsoku/>
        <w:topLinePunct/>
        <w:autoSpaceDE/>
        <w:autoSpaceDN/>
        <w:spacing w:line="360" w:lineRule="auto"/>
        <w:jc w:val="center"/>
        <w:outlineLvl w:val="1"/>
        <w:rPr>
          <w:rFonts w:ascii="Times New Roman" w:cs="宋体" w:hAnsi="Times New Roman"/>
          <w:b/>
          <w:color w:val="auto"/>
          <w:spacing w:val="4"/>
          <w:sz w:val="31"/>
          <w:szCs w:val="31"/>
        </w:rPr>
      </w:pPr>
      <w:r>
        <w:rPr>
          <w:rFonts w:ascii="Times New Roman" w:cs="宋体" w:hAnsi="Times New Roman" w:hint="eastAsia"/>
          <w:b/>
          <w:color w:val="auto"/>
          <w:spacing w:val="4"/>
          <w:sz w:val="31"/>
          <w:szCs w:val="31"/>
        </w:rPr>
        <w:t>商务评审表</w:t>
      </w:r>
    </w:p>
    <w:tbl>
      <w:tblPr>
        <w:jc w:val="center"/>
        <w:tblW w:w="8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95"/>
        <w:gridCol w:w="1195"/>
        <w:gridCol w:w="5403"/>
        <w:gridCol w:w="699"/>
      </w:tblGrid>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序号</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评审因素</w:t>
            </w:r>
          </w:p>
        </w:tc>
        <w:tc>
          <w:tcPr>
            <w:tcW w:w="5403"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评审标准</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分值</w:t>
            </w:r>
          </w:p>
        </w:tc>
      </w:tr>
      <w:tr>
        <w:trPr>
          <w:trHeight w:val="447"/>
        </w:trPr>
        <w:tc>
          <w:tcPr>
            <w:tcW w:w="119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snapToGrid/>
                <w:color w:val="auto"/>
                <w:kern w:val="2"/>
              </w:rPr>
              <w:t>1</w:t>
            </w:r>
          </w:p>
        </w:tc>
        <w:tc>
          <w:tcPr>
            <w:tcW w:w="1195"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价格</w:t>
            </w:r>
          </w:p>
        </w:tc>
        <w:tc>
          <w:tcPr>
            <w:tcW w:w="5403" w:type="dxa"/>
            <w:vAlign w:val="center"/>
          </w:tcPr>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投标人报价得分＝（评标基准价/投标报价）×10</w:t>
            </w:r>
          </w:p>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注解：</w:t>
            </w:r>
          </w:p>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1、评标基准价为满足招标文件要求且投标价格最低的投标报价；</w:t>
            </w:r>
          </w:p>
          <w:p>
            <w:pPr>
              <w:widowControl w:val="0"/>
              <w:kinsoku/>
              <w:autoSpaceDE/>
              <w:autoSpaceDN/>
              <w:adjustRightInd/>
              <w:snapToGrid/>
              <w:jc w:val="center"/>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2、投标人报价为投标函中投标总价。</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snapToGrid/>
                <w:color w:val="auto"/>
                <w:kern w:val="2"/>
                <w:lang w:val="en-US" w:eastAsia="zh-CN"/>
              </w:rPr>
              <w:t>10</w:t>
            </w:r>
          </w:p>
        </w:tc>
      </w:tr>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2</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资质标准</w:t>
            </w:r>
          </w:p>
        </w:tc>
        <w:tc>
          <w:tcPr>
            <w:tcW w:w="5403" w:type="dxa"/>
            <w:vAlign w:val="center"/>
          </w:tcPr>
          <w:p>
            <w:pPr>
              <w:widowControl w:val="0"/>
              <w:kinsoku/>
              <w:autoSpaceDE/>
              <w:autoSpaceDN/>
              <w:adjustRightInd/>
              <w:snapToGrid/>
              <w:textAlignment w:val="auto"/>
              <w:rPr>
                <w:rFonts w:ascii="Times New Roman" w:cs="宋体" w:hAnsi="Times New Roman" w:hint="eastAsia"/>
                <w:snapToGrid/>
                <w:color w:val="auto"/>
                <w:lang w:val="en-US" w:eastAsia="zh-CN"/>
              </w:rPr>
            </w:pPr>
            <w:r>
              <w:rPr>
                <w:rFonts w:ascii="Times New Roman" w:cs="宋体" w:hAnsi="Times New Roman" w:hint="eastAsia"/>
                <w:snapToGrid/>
                <w:color w:val="auto"/>
                <w:lang w:eastAsia="zh-CN"/>
              </w:rPr>
              <w:t>具有国家认证认可的监督管理部门批准设立的认证机构颁发</w:t>
            </w:r>
            <w:r>
              <w:rPr>
                <w:rFonts w:ascii="Times New Roman" w:cs="宋体" w:hAnsi="Times New Roman" w:hint="eastAsia"/>
                <w:snapToGrid/>
                <w:color w:val="auto"/>
                <w:lang w:val="en-US" w:eastAsia="zh-CN"/>
              </w:rPr>
              <w:t>的相关证书</w:t>
            </w:r>
          </w:p>
          <w:p>
            <w:pPr>
              <w:widowControl w:val="0"/>
              <w:kinsoku/>
              <w:autoSpaceDE/>
              <w:autoSpaceDN/>
              <w:adjustRightInd/>
              <w:snapToGrid/>
              <w:ind w:firstLineChars="200" w:firstLine="420"/>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1.</w:t>
            </w:r>
            <w:r>
              <w:rPr>
                <w:rFonts w:ascii="Times New Roman" w:cs="宋体" w:hAnsi="Times New Roman" w:hint="eastAsia"/>
                <w:snapToGrid/>
                <w:color w:val="auto"/>
                <w:lang w:eastAsia="zh-CN"/>
              </w:rPr>
              <w:t>质量管理体系认证证书；</w:t>
            </w:r>
          </w:p>
          <w:p>
            <w:pPr>
              <w:widowControl w:val="0"/>
              <w:kinsoku/>
              <w:autoSpaceDE/>
              <w:autoSpaceDN/>
              <w:adjustRightInd/>
              <w:snapToGrid/>
              <w:ind w:firstLineChars="200" w:firstLine="420"/>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2.</w:t>
            </w:r>
            <w:r>
              <w:rPr>
                <w:rFonts w:ascii="Times New Roman" w:cs="宋体" w:hAnsi="Times New Roman" w:hint="eastAsia"/>
                <w:snapToGrid/>
                <w:color w:val="auto"/>
                <w:lang w:eastAsia="zh-CN"/>
              </w:rPr>
              <w:t>信息服务管理体系认证证书；</w:t>
            </w:r>
          </w:p>
          <w:p>
            <w:pPr>
              <w:widowControl w:val="0"/>
              <w:kinsoku/>
              <w:autoSpaceDE/>
              <w:autoSpaceDN/>
              <w:adjustRightInd/>
              <w:snapToGrid/>
              <w:ind w:firstLineChars="200" w:firstLine="420"/>
              <w:textAlignment w:val="auto"/>
              <w:rPr>
                <w:rFonts w:ascii="Times New Roman" w:cs="宋体" w:hAnsi="Times New Roman" w:hint="eastAsia"/>
                <w:snapToGrid/>
                <w:color w:val="auto"/>
                <w:lang w:eastAsia="zh-CN"/>
              </w:rPr>
            </w:pPr>
            <w:r>
              <w:rPr>
                <w:rFonts w:ascii="Times New Roman" w:cs="宋体" w:hAnsi="Times New Roman" w:hint="eastAsia"/>
                <w:snapToGrid/>
                <w:color w:val="auto"/>
                <w:lang w:val="en-US" w:eastAsia="zh-CN"/>
              </w:rPr>
              <w:t>3.</w:t>
            </w:r>
            <w:r>
              <w:rPr>
                <w:rFonts w:ascii="Times New Roman" w:cs="宋体" w:hAnsi="Times New Roman" w:hint="eastAsia"/>
                <w:snapToGrid/>
                <w:color w:val="auto"/>
                <w:lang w:eastAsia="zh-CN"/>
              </w:rPr>
              <w:t>信息安全管理体系认证证书。</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lang w:val="en-US" w:eastAsia="zh-CN"/>
              </w:rPr>
              <w:t>证书有效可查。</w:t>
            </w:r>
            <w:r>
              <w:rPr>
                <w:rFonts w:ascii="Times New Roman" w:cs="宋体" w:hAnsi="Times New Roman" w:hint="eastAsia"/>
                <w:snapToGrid/>
                <w:color w:val="auto"/>
                <w:lang w:eastAsia="zh-CN"/>
              </w:rPr>
              <w:t>同时具有上述证书得</w:t>
            </w:r>
            <w:r>
              <w:rPr>
                <w:rFonts w:ascii="Times New Roman" w:cs="宋体" w:hAnsi="Times New Roman" w:hint="eastAsia"/>
                <w:snapToGrid/>
                <w:color w:val="auto"/>
                <w:lang w:val="en-US" w:eastAsia="zh-CN"/>
              </w:rPr>
              <w:t>6</w:t>
            </w:r>
            <w:r>
              <w:rPr>
                <w:rFonts w:ascii="Times New Roman" w:cs="宋体" w:hAnsi="Times New Roman" w:hint="eastAsia"/>
                <w:snapToGrid/>
                <w:color w:val="auto"/>
                <w:lang w:eastAsia="zh-CN"/>
              </w:rPr>
              <w:t>分，每提供1项得</w:t>
            </w:r>
            <w:r>
              <w:rPr>
                <w:rFonts w:ascii="Times New Roman" w:cs="宋体" w:hAnsi="Times New Roman" w:hint="eastAsia"/>
                <w:snapToGrid/>
                <w:color w:val="auto"/>
                <w:lang w:val="en-US" w:eastAsia="zh-CN"/>
              </w:rPr>
              <w:t>2</w:t>
            </w:r>
            <w:r>
              <w:rPr>
                <w:rFonts w:ascii="Times New Roman" w:cs="宋体" w:hAnsi="Times New Roman" w:hint="eastAsia"/>
                <w:snapToGrid/>
                <w:color w:val="auto"/>
                <w:lang w:eastAsia="zh-CN"/>
              </w:rPr>
              <w:t xml:space="preserve"> 分。</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6</w:t>
            </w:r>
          </w:p>
        </w:tc>
      </w:tr>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3</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技术水平</w:t>
            </w:r>
          </w:p>
        </w:tc>
        <w:tc>
          <w:tcPr>
            <w:tcW w:w="5403" w:type="dxa"/>
            <w:vAlign w:val="center"/>
          </w:tcPr>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lang w:eastAsia="zh-CN"/>
              </w:rPr>
              <w:t>投标人具有自主研发能力，产品采用技术具有先进性，具备与本项目采购内容核心技术相关的著作权，如数据同步复制类、数据交换类、数据管理分析类、数据资源共享类、数据迁移类，数据对比分析类等著作权，需注明该著作权对应采购文件的需求具体内容及章节（页码），并说明与采购需求的符合性，多个著作权对应同一需求内容的不重复计分。</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lang w:eastAsia="zh-CN"/>
              </w:rPr>
              <w:t>每提供</w:t>
            </w:r>
            <w:r>
              <w:rPr>
                <w:rFonts w:ascii="Times New Roman" w:cs="宋体" w:hAnsi="Times New Roman"/>
                <w:snapToGrid/>
                <w:color w:val="auto"/>
                <w:lang w:eastAsia="zh-CN"/>
              </w:rPr>
              <w:t>1</w:t>
            </w:r>
            <w:r>
              <w:rPr>
                <w:rFonts w:ascii="Times New Roman" w:cs="宋体" w:hAnsi="Times New Roman" w:hint="eastAsia"/>
                <w:snapToGrid/>
                <w:color w:val="auto"/>
                <w:lang w:eastAsia="zh-CN"/>
              </w:rPr>
              <w:t>个相关的著作权得</w:t>
            </w:r>
            <w:r>
              <w:rPr>
                <w:rFonts w:ascii="Times New Roman" w:cs="宋体" w:hAnsi="Times New Roman" w:hint="eastAsia"/>
                <w:snapToGrid/>
                <w:color w:val="auto"/>
                <w:lang w:val="en-US" w:eastAsia="zh-CN"/>
              </w:rPr>
              <w:t>2</w:t>
            </w:r>
            <w:r>
              <w:rPr>
                <w:rFonts w:ascii="Times New Roman" w:cs="宋体" w:hAnsi="Times New Roman" w:hint="eastAsia"/>
                <w:snapToGrid/>
                <w:color w:val="auto"/>
                <w:lang w:eastAsia="zh-CN"/>
              </w:rPr>
              <w:t>分，最高</w:t>
            </w:r>
            <w:r>
              <w:rPr>
                <w:rFonts w:ascii="Times New Roman" w:cs="宋体" w:hAnsi="Times New Roman"/>
                <w:snapToGrid/>
                <w:color w:val="auto"/>
                <w:lang w:eastAsia="zh-CN"/>
              </w:rPr>
              <w:t>4</w:t>
            </w:r>
            <w:r>
              <w:rPr>
                <w:rFonts w:ascii="Times New Roman" w:cs="宋体" w:hAnsi="Times New Roman" w:hint="eastAsia"/>
                <w:snapToGrid/>
                <w:color w:val="auto"/>
                <w:lang w:eastAsia="zh-CN"/>
              </w:rPr>
              <w:t>分。</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4</w:t>
            </w:r>
          </w:p>
        </w:tc>
      </w:tr>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4</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宋体" w:hAnsi="Times New Roman" w:hint="eastAsia"/>
                <w:snapToGrid/>
                <w:color w:val="auto"/>
                <w:kern w:val="2"/>
                <w:lang w:eastAsia="zh-CN"/>
              </w:rPr>
              <w:t>项目经理</w:t>
            </w:r>
            <w:r>
              <w:rPr>
                <w:rFonts w:ascii="Times New Roman" w:cs="宋体" w:hAnsi="Times New Roman" w:hint="eastAsia"/>
                <w:snapToGrid/>
                <w:color w:val="auto"/>
                <w:kern w:val="2"/>
                <w:lang w:val="en-US" w:eastAsia="zh-CN"/>
              </w:rPr>
              <w:t>资质</w:t>
            </w:r>
          </w:p>
          <w:p>
            <w:pPr>
              <w:widowControl w:val="0"/>
              <w:kinsoku/>
              <w:autoSpaceDE/>
              <w:autoSpaceDN/>
              <w:adjustRightInd/>
              <w:snapToGrid/>
              <w:jc w:val="center"/>
              <w:textAlignment w:val="auto"/>
              <w:rPr>
                <w:rFonts w:ascii="Times New Roman" w:cs="Times New Roman" w:hAnsi="Times New Roman"/>
                <w:snapToGrid/>
                <w:color w:val="auto"/>
                <w:kern w:val="2"/>
                <w:lang w:eastAsia="zh-CN"/>
              </w:rPr>
            </w:pPr>
          </w:p>
        </w:tc>
        <w:tc>
          <w:tcPr>
            <w:tcW w:w="5403" w:type="dxa"/>
            <w:shd w:val="clear" w:color="auto" w:fill="auto"/>
            <w:vAlign w:val="center"/>
          </w:tcPr>
          <w:p>
            <w:pPr>
              <w:rPr>
                <w:rFonts w:ascii="Times New Roman" w:hAnsi="Times New Roman"/>
                <w:lang w:val="en-US" w:eastAsia="zh-CN"/>
              </w:rPr>
            </w:pPr>
            <w:r>
              <w:rPr>
                <w:rFonts w:ascii="Times New Roman" w:hAnsi="Times New Roman" w:hint="eastAsia"/>
                <w:lang w:val="en-US" w:eastAsia="zh-CN"/>
              </w:rPr>
              <w:t>计算机相关专业本科及以上，具备工信部大数据分析师（高级）资质。</w:t>
            </w:r>
          </w:p>
          <w:p>
            <w:pPr>
              <w:rPr>
                <w:rFonts w:ascii="Times New Roman" w:hAnsi="Times New Roman"/>
                <w:lang w:eastAsia="zh-CN"/>
              </w:rPr>
            </w:pPr>
            <w:r>
              <w:rPr>
                <w:rFonts w:ascii="Times New Roman" w:hAnsi="Times New Roman" w:hint="eastAsia"/>
                <w:lang w:eastAsia="zh-CN"/>
              </w:rPr>
              <w:t>以上证书及证明材料具备得</w:t>
            </w:r>
            <w:r>
              <w:rPr>
                <w:rFonts w:ascii="Times New Roman" w:hAnsi="Times New Roman"/>
                <w:lang w:eastAsia="zh-CN"/>
              </w:rPr>
              <w:t>3</w:t>
            </w:r>
            <w:r>
              <w:rPr>
                <w:rFonts w:ascii="Times New Roman" w:hAnsi="Times New Roman" w:hint="eastAsia"/>
                <w:lang w:eastAsia="zh-CN"/>
              </w:rPr>
              <w:t>分。</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Times New Roman" w:hAnsi="Times New Roman" w:hint="eastAsia"/>
                <w:snapToGrid/>
                <w:color w:val="auto"/>
                <w:kern w:val="2"/>
                <w:lang w:val="en-US" w:eastAsia="zh-CN"/>
              </w:rPr>
              <w:t>3</w:t>
            </w:r>
          </w:p>
        </w:tc>
      </w:tr>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5</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软件产品</w:t>
            </w:r>
          </w:p>
        </w:tc>
        <w:tc>
          <w:tcPr>
            <w:tcW w:w="5403" w:type="dxa"/>
            <w:vAlign w:val="center"/>
          </w:tcPr>
          <w:p>
            <w:pPr>
              <w:widowControl w:val="0"/>
              <w:kinsoku/>
              <w:autoSpaceDE/>
              <w:autoSpaceDN/>
              <w:adjustRightInd/>
              <w:snapToGrid/>
              <w:textAlignment w:val="auto"/>
              <w:rPr>
                <w:rFonts w:ascii="Times New Roman" w:cs="宋体" w:hAnsi="Times New Roman"/>
                <w:snapToGrid/>
                <w:color w:val="auto"/>
                <w:kern w:val="2"/>
                <w:lang w:eastAsia="zh-CN"/>
              </w:rPr>
            </w:pPr>
            <w:r>
              <w:rPr>
                <w:rFonts w:ascii="Times New Roman" w:cs="宋体" w:hAnsi="Times New Roman" w:hint="eastAsia"/>
                <w:snapToGrid/>
                <w:color w:val="auto"/>
                <w:kern w:val="2"/>
                <w:lang w:eastAsia="zh-CN"/>
              </w:rPr>
              <w:t>具有</w:t>
            </w:r>
            <w:r>
              <w:rPr>
                <w:rFonts w:ascii="Times New Roman" w:cs="宋体" w:hAnsi="Times New Roman"/>
                <w:snapToGrid/>
                <w:color w:val="auto"/>
                <w:kern w:val="2"/>
                <w:lang w:eastAsia="zh-CN"/>
              </w:rPr>
              <w:t xml:space="preserve">CNAS </w:t>
            </w:r>
            <w:r>
              <w:rPr>
                <w:rFonts w:ascii="Times New Roman" w:cs="宋体" w:hAnsi="Times New Roman" w:hint="eastAsia"/>
                <w:snapToGrid/>
                <w:color w:val="auto"/>
                <w:kern w:val="2"/>
                <w:lang w:eastAsia="zh-CN"/>
              </w:rPr>
              <w:t>（中国认可国际互认检测）资质的第三方测试报告</w:t>
            </w:r>
            <w:r>
              <w:rPr>
                <w:rFonts w:ascii="Times New Roman" w:cs="宋体" w:hAnsi="Times New Roman"/>
                <w:snapToGrid/>
                <w:color w:val="auto"/>
                <w:kern w:val="2"/>
                <w:lang w:eastAsia="zh-CN"/>
              </w:rPr>
              <w:t>(</w:t>
            </w:r>
            <w:r>
              <w:rPr>
                <w:rFonts w:ascii="Times New Roman" w:cs="宋体" w:hAnsi="Times New Roman" w:hint="eastAsia"/>
                <w:snapToGrid/>
                <w:color w:val="auto"/>
                <w:kern w:val="2"/>
                <w:lang w:eastAsia="zh-CN"/>
              </w:rPr>
              <w:t>带有</w:t>
            </w:r>
            <w:r>
              <w:rPr>
                <w:rFonts w:ascii="Times New Roman" w:cs="宋体" w:hAnsi="Times New Roman"/>
                <w:snapToGrid/>
                <w:color w:val="auto"/>
                <w:kern w:val="2"/>
                <w:lang w:eastAsia="zh-CN"/>
              </w:rPr>
              <w:t xml:space="preserve"> CNAS </w:t>
            </w:r>
            <w:r>
              <w:rPr>
                <w:rFonts w:ascii="Times New Roman" w:cs="宋体" w:hAnsi="Times New Roman" w:hint="eastAsia"/>
                <w:snapToGrid/>
                <w:color w:val="auto"/>
                <w:kern w:val="2"/>
                <w:lang w:eastAsia="zh-CN"/>
              </w:rPr>
              <w:t>标志</w:t>
            </w:r>
            <w:r>
              <w:rPr>
                <w:rFonts w:ascii="Times New Roman" w:cs="宋体" w:hAnsi="Times New Roman"/>
                <w:snapToGrid/>
                <w:color w:val="auto"/>
                <w:kern w:val="2"/>
                <w:lang w:eastAsia="zh-CN"/>
              </w:rPr>
              <w:t>)</w:t>
            </w:r>
            <w:r>
              <w:rPr>
                <w:rFonts w:ascii="Times New Roman" w:cs="宋体" w:hAnsi="Times New Roman" w:hint="eastAsia"/>
                <w:snapToGrid/>
                <w:color w:val="auto"/>
                <w:kern w:val="2"/>
                <w:lang w:eastAsia="zh-CN"/>
              </w:rPr>
              <w:t>证书，测试内容可以包括功能与非功能、渗透和代码等。提供证书扫描件。</w:t>
            </w:r>
          </w:p>
          <w:p>
            <w:pPr>
              <w:widowControl w:val="0"/>
              <w:kinsoku/>
              <w:autoSpaceDE/>
              <w:autoSpaceDN/>
              <w:adjustRightInd/>
              <w:snapToGrid/>
              <w:textAlignment w:val="auto"/>
              <w:rPr>
                <w:rFonts w:ascii="Times New Roman" w:cs="Times New Roman" w:hAnsi="Times New Roman"/>
                <w:snapToGrid/>
                <w:color w:val="auto"/>
                <w:kern w:val="2"/>
                <w:lang w:eastAsia="zh-CN"/>
              </w:rPr>
            </w:pPr>
            <w:r>
              <w:rPr>
                <w:rFonts w:ascii="Times New Roman" w:hAnsi="Times New Roman" w:hint="eastAsia"/>
                <w:lang w:eastAsia="zh-CN"/>
              </w:rPr>
              <w:t>以上证书及证明材料具备</w:t>
            </w:r>
            <w:r>
              <w:rPr>
                <w:rFonts w:ascii="Times New Roman" w:hAnsi="Times New Roman"/>
                <w:lang w:eastAsia="zh-CN"/>
              </w:rPr>
              <w:t>得3</w:t>
            </w:r>
            <w:r>
              <w:rPr>
                <w:rFonts w:ascii="Times New Roman" w:hAnsi="Times New Roman" w:hint="eastAsia"/>
                <w:lang w:eastAsia="zh-CN"/>
              </w:rPr>
              <w:t>分。</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val="en-US" w:eastAsia="zh-CN"/>
              </w:rPr>
              <w:t>3</w:t>
            </w:r>
          </w:p>
        </w:tc>
      </w:tr>
      <w:tr>
        <w:trPr>
          <w:trHeight w:val="448"/>
        </w:trPr>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val="en-US" w:eastAsia="zh-CN"/>
              </w:rPr>
            </w:pPr>
            <w:r>
              <w:rPr>
                <w:rFonts w:ascii="Times New Roman" w:cs="宋体" w:hAnsi="Times New Roman"/>
                <w:snapToGrid/>
                <w:color w:val="auto"/>
                <w:kern w:val="2"/>
                <w:lang w:val="en-US" w:eastAsia="zh-CN"/>
              </w:rPr>
              <w:t>6</w:t>
            </w:r>
          </w:p>
        </w:tc>
        <w:tc>
          <w:tcPr>
            <w:tcW w:w="1195"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hint="eastAsia"/>
                <w:snapToGrid/>
                <w:color w:val="auto"/>
                <w:kern w:val="2"/>
                <w:lang w:eastAsia="zh-CN"/>
              </w:rPr>
              <w:t>业绩要求</w:t>
            </w:r>
          </w:p>
        </w:tc>
        <w:tc>
          <w:tcPr>
            <w:tcW w:w="5403" w:type="dxa"/>
            <w:vAlign w:val="center"/>
          </w:tcPr>
          <w:p>
            <w:pPr>
              <w:widowControl w:val="0"/>
              <w:kinsoku/>
              <w:autoSpaceDE/>
              <w:autoSpaceDN/>
              <w:adjustRightInd/>
              <w:snapToGrid/>
              <w:textAlignment w:val="auto"/>
              <w:rPr>
                <w:rFonts w:ascii="Times New Roman" w:cs="宋体" w:hAnsi="Times New Roman" w:hint="eastAsia"/>
                <w:snapToGrid/>
                <w:color w:val="auto"/>
                <w:kern w:val="2"/>
                <w:lang w:val="en-US" w:eastAsia="zh-CN"/>
              </w:rPr>
            </w:pPr>
            <w:r>
              <w:rPr>
                <w:rFonts w:ascii="Times New Roman" w:cs="宋体" w:hAnsi="Times New Roman" w:hint="eastAsia"/>
                <w:snapToGrid/>
                <w:color w:val="auto"/>
                <w:kern w:val="2"/>
                <w:lang w:val="en-US" w:eastAsia="zh-CN"/>
              </w:rPr>
              <w:t>项目招标公告发布之日前（不含公告发布当日）前三年内，1.</w:t>
            </w:r>
            <w:r>
              <w:rPr>
                <w:rFonts w:ascii="Times New Roman" w:cs="宋体" w:hAnsi="Times New Roman" w:hint="eastAsia"/>
                <w:snapToGrid/>
                <w:color w:val="auto"/>
                <w:kern w:val="2"/>
              </w:rPr>
              <w:t>与海关系统内部单位签订抽取转换加载成品软件项目或采用具备自有知识产权抽取转换加载成品软产品的系统平台建设类的项目，每个项目</w:t>
            </w:r>
            <w:r>
              <w:rPr>
                <w:rFonts w:ascii="Times New Roman" w:cs="宋体" w:hAnsi="Times New Roman"/>
                <w:snapToGrid/>
                <w:color w:val="auto"/>
                <w:kern w:val="2"/>
              </w:rPr>
              <w:t>3</w:t>
            </w:r>
            <w:r>
              <w:rPr>
                <w:rFonts w:ascii="Times New Roman" w:cs="宋体" w:hAnsi="Times New Roman" w:hint="eastAsia"/>
                <w:snapToGrid/>
                <w:color w:val="auto"/>
                <w:kern w:val="2"/>
              </w:rPr>
              <w:t>分，最高</w:t>
            </w:r>
            <w:r>
              <w:rPr>
                <w:rFonts w:ascii="Times New Roman" w:cs="宋体" w:hAnsi="Times New Roman"/>
                <w:snapToGrid/>
                <w:color w:val="auto"/>
                <w:kern w:val="2"/>
              </w:rPr>
              <w:t>6</w:t>
            </w:r>
            <w:r>
              <w:rPr>
                <w:rFonts w:ascii="Times New Roman" w:cs="宋体" w:hAnsi="Times New Roman" w:hint="eastAsia"/>
                <w:snapToGrid/>
                <w:color w:val="auto"/>
                <w:kern w:val="2"/>
              </w:rPr>
              <w:t>分。</w:t>
            </w:r>
          </w:p>
          <w:p>
            <w:pPr>
              <w:widowControl w:val="0"/>
              <w:kinsoku/>
              <w:autoSpaceDE/>
              <w:autoSpaceDN/>
              <w:adjustRightInd/>
              <w:snapToGrid/>
              <w:textAlignment w:val="auto"/>
              <w:rPr>
                <w:rFonts w:ascii="Times New Roman" w:cs="宋体" w:hAnsi="Times New Roman"/>
                <w:snapToGrid/>
                <w:color w:val="auto"/>
                <w:kern w:val="2"/>
                <w:lang w:val="en-US" w:eastAsia="zh-CN"/>
              </w:rPr>
            </w:pPr>
            <w:r>
              <w:rPr>
                <w:rFonts w:ascii="Times New Roman" w:cs="宋体" w:hAnsi="Times New Roman" w:hint="eastAsia"/>
                <w:snapToGrid/>
                <w:color w:val="auto"/>
                <w:kern w:val="2"/>
                <w:lang w:val="en-US" w:eastAsia="zh-CN"/>
              </w:rPr>
              <w:t>2.与政府或国企签订</w:t>
            </w:r>
            <w:r>
              <w:rPr>
                <w:rFonts w:ascii="Times New Roman" w:cs="宋体" w:hAnsi="Times New Roman" w:hint="eastAsia"/>
                <w:snapToGrid/>
                <w:color w:val="auto"/>
                <w:kern w:val="2"/>
              </w:rPr>
              <w:t>抽取转换加载成品软件</w:t>
            </w:r>
            <w:r>
              <w:rPr>
                <w:rFonts w:ascii="Times New Roman" w:cs="宋体" w:hAnsi="Times New Roman" w:hint="eastAsia"/>
                <w:snapToGrid/>
                <w:color w:val="auto"/>
                <w:kern w:val="2"/>
                <w:lang w:val="en-US" w:eastAsia="zh-CN"/>
              </w:rPr>
              <w:t>项目或采用具备自有知识产权</w:t>
            </w:r>
            <w:r>
              <w:rPr>
                <w:rFonts w:ascii="Times New Roman" w:cs="宋体" w:hAnsi="Times New Roman" w:hint="eastAsia"/>
                <w:snapToGrid/>
                <w:color w:val="auto"/>
                <w:kern w:val="2"/>
              </w:rPr>
              <w:t>抽取转换加载成品软件</w:t>
            </w:r>
            <w:r>
              <w:rPr>
                <w:rFonts w:ascii="Times New Roman" w:cs="宋体" w:hAnsi="Times New Roman" w:hint="eastAsia"/>
                <w:snapToGrid/>
                <w:color w:val="auto"/>
                <w:kern w:val="2"/>
                <w:lang w:val="en-US" w:eastAsia="zh-CN"/>
              </w:rPr>
              <w:t>产品的系统平台建设类的项目，每个得</w:t>
            </w:r>
            <w:r>
              <w:rPr>
                <w:rFonts w:ascii="Times New Roman" w:cs="宋体" w:hAnsi="Times New Roman"/>
                <w:snapToGrid/>
                <w:color w:val="auto"/>
                <w:kern w:val="2"/>
                <w:lang w:val="en-US" w:eastAsia="zh-CN"/>
              </w:rPr>
              <w:t>2</w:t>
            </w:r>
            <w:r>
              <w:rPr>
                <w:rFonts w:ascii="Times New Roman" w:cs="宋体" w:hAnsi="Times New Roman" w:hint="eastAsia"/>
                <w:snapToGrid/>
                <w:color w:val="auto"/>
                <w:kern w:val="2"/>
                <w:lang w:val="en-US" w:eastAsia="zh-CN"/>
              </w:rPr>
              <w:t>分，最高</w:t>
            </w:r>
            <w:r>
              <w:rPr>
                <w:rFonts w:ascii="Times New Roman" w:cs="宋体" w:hAnsi="Times New Roman"/>
                <w:snapToGrid/>
                <w:color w:val="auto"/>
                <w:kern w:val="2"/>
                <w:lang w:val="en-US" w:eastAsia="zh-CN"/>
              </w:rPr>
              <w:t>4</w:t>
            </w:r>
            <w:r>
              <w:rPr>
                <w:rFonts w:ascii="Times New Roman" w:cs="宋体" w:hAnsi="Times New Roman" w:hint="eastAsia"/>
                <w:snapToGrid/>
                <w:color w:val="auto"/>
                <w:kern w:val="2"/>
                <w:lang w:val="en-US" w:eastAsia="zh-CN"/>
              </w:rPr>
              <w:t>分。</w:t>
            </w:r>
          </w:p>
          <w:p>
            <w:pPr>
              <w:widowControl w:val="0"/>
              <w:kinsoku/>
              <w:autoSpaceDE/>
              <w:autoSpaceDN/>
              <w:adjustRightInd/>
              <w:snapToGrid/>
              <w:textAlignment w:val="auto"/>
              <w:rPr>
                <w:rFonts w:ascii="Times New Roman" w:cs="Times New Roman" w:hAnsi="Times New Roman"/>
                <w:snapToGrid/>
                <w:color w:val="auto"/>
                <w:lang w:eastAsia="zh-CN"/>
              </w:rPr>
            </w:pPr>
            <w:r>
              <w:rPr>
                <w:rFonts w:ascii="Times New Roman" w:cs="宋体" w:hAnsi="Times New Roman" w:hint="eastAsia"/>
                <w:snapToGrid/>
                <w:color w:val="auto"/>
                <w:kern w:val="2"/>
                <w:lang w:val="en-US" w:eastAsia="zh-CN"/>
              </w:rPr>
              <w:t>注：业绩证明材料须提供单项合同关键页复印件，至少包括首页、合同金额、服务内容、签字盖章页。</w:t>
            </w:r>
          </w:p>
        </w:tc>
        <w:tc>
          <w:tcPr>
            <w:tcW w:w="699" w:type="dxa"/>
            <w:vAlign w:val="center"/>
          </w:tcPr>
          <w:p>
            <w:pPr>
              <w:widowControl w:val="0"/>
              <w:kinsoku/>
              <w:autoSpaceDE/>
              <w:autoSpaceDN/>
              <w:adjustRightInd/>
              <w:snapToGrid/>
              <w:jc w:val="center"/>
              <w:textAlignment w:val="auto"/>
              <w:rPr>
                <w:rFonts w:ascii="Times New Roman" w:cs="Times New Roman" w:hAnsi="Times New Roman"/>
                <w:snapToGrid/>
                <w:color w:val="auto"/>
                <w:kern w:val="2"/>
                <w:lang w:eastAsia="zh-CN"/>
              </w:rPr>
            </w:pPr>
            <w:r>
              <w:rPr>
                <w:rFonts w:ascii="Times New Roman" w:cs="宋体" w:hAnsi="Times New Roman"/>
                <w:snapToGrid/>
                <w:color w:val="auto"/>
                <w:kern w:val="2"/>
                <w:lang w:eastAsia="zh-CN"/>
              </w:rPr>
              <w:t>1</w:t>
            </w:r>
            <w:r>
              <w:rPr>
                <w:rFonts w:ascii="Times New Roman" w:cs="宋体" w:hAnsi="Times New Roman"/>
                <w:snapToGrid/>
                <w:color w:val="auto"/>
                <w:kern w:val="2"/>
                <w:lang w:val="en-US" w:eastAsia="zh-CN"/>
              </w:rPr>
              <w:t>0</w:t>
            </w:r>
          </w:p>
        </w:tc>
      </w:tr>
      <w:tr>
        <w:trPr>
          <w:trHeight w:val="447"/>
        </w:trPr>
        <w:tc>
          <w:tcPr>
            <w:tcW w:w="1195" w:type="dxa"/>
            <w:vAlign w:val="center"/>
          </w:tcPr>
          <w:p>
            <w:pPr>
              <w:widowControl w:val="0"/>
              <w:kinsoku/>
              <w:autoSpaceDE/>
              <w:autoSpaceDN/>
              <w:adjustRightInd/>
              <w:snapToGrid/>
              <w:jc w:val="center"/>
              <w:textAlignment w:val="auto"/>
              <w:rPr>
                <w:rFonts w:ascii="Times New Roman" w:cs="宋体" w:hAnsi="Times New Roman"/>
                <w:snapToGrid/>
                <w:color w:val="auto"/>
                <w:kern w:val="2"/>
                <w:lang w:val="en-US" w:eastAsia="zh-CN"/>
              </w:rPr>
            </w:pPr>
            <w:r>
              <w:rPr>
                <w:rFonts w:ascii="Times New Roman" w:cs="宋体" w:hAnsi="Times New Roman"/>
                <w:snapToGrid/>
                <w:color w:val="auto"/>
                <w:kern w:val="2"/>
                <w:lang w:val="en-US" w:eastAsia="zh-CN"/>
              </w:rPr>
              <w:t>7</w:t>
            </w:r>
          </w:p>
        </w:tc>
        <w:tc>
          <w:tcPr>
            <w:tcW w:w="1195" w:type="dxa"/>
            <w:vAlign w:val="center"/>
          </w:tcPr>
          <w:p>
            <w:pPr>
              <w:widowControl w:val="0"/>
              <w:kinsoku/>
              <w:autoSpaceDE/>
              <w:autoSpaceDN/>
              <w:adjustRightInd/>
              <w:snapToGrid/>
              <w:jc w:val="center"/>
              <w:textAlignment w:val="auto"/>
              <w:rPr>
                <w:rFonts w:ascii="Times New Roman" w:cs="宋体" w:hAnsi="Times New Roman"/>
                <w:snapToGrid/>
                <w:color w:val="auto"/>
                <w:kern w:val="2"/>
                <w:lang w:eastAsia="zh-CN"/>
              </w:rPr>
            </w:pPr>
            <w:r>
              <w:rPr>
                <w:rFonts w:ascii="Times New Roman" w:cs="宋体" w:hAnsi="Times New Roman" w:hint="eastAsia"/>
                <w:snapToGrid/>
                <w:color w:val="auto"/>
                <w:kern w:val="2"/>
              </w:rPr>
              <w:t>售后方案</w:t>
            </w:r>
          </w:p>
        </w:tc>
        <w:tc>
          <w:tcPr>
            <w:tcW w:w="5403" w:type="dxa"/>
            <w:vAlign w:val="center"/>
          </w:tcPr>
          <w:p>
            <w:pPr>
              <w:widowControl w:val="0"/>
              <w:kinsoku/>
              <w:autoSpaceDE/>
              <w:autoSpaceDN/>
              <w:adjustRightInd/>
              <w:snapToGrid/>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1、售后服务方案内容包括售后服务机构的设置及专业维护人员的配备、故障排除时间、服务措施、服务承诺等。方案十分完整，科学合理，可行性强，得</w:t>
            </w:r>
            <w:r>
              <w:rPr>
                <w:rFonts w:ascii="Times New Roman" w:cs="宋体" w:hAnsi="Times New Roman"/>
                <w:snapToGrid/>
                <w:color w:val="auto"/>
                <w:kern w:val="2"/>
              </w:rPr>
              <w:t>4</w:t>
            </w:r>
            <w:r>
              <w:rPr>
                <w:rFonts w:ascii="Times New Roman" w:cs="宋体" w:hAnsi="Times New Roman" w:hint="eastAsia"/>
                <w:snapToGrid/>
                <w:color w:val="auto"/>
                <w:kern w:val="2"/>
              </w:rPr>
              <w:t>分；</w:t>
            </w:r>
          </w:p>
          <w:p>
            <w:pPr>
              <w:widowControl w:val="0"/>
              <w:kinsoku/>
              <w:autoSpaceDE/>
              <w:autoSpaceDN/>
              <w:adjustRightInd/>
              <w:snapToGrid/>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2、提供方案合理，可行性较强，得</w:t>
            </w:r>
            <w:r>
              <w:rPr>
                <w:rFonts w:ascii="Times New Roman" w:cs="宋体" w:hAnsi="Times New Roman"/>
                <w:snapToGrid/>
                <w:color w:val="auto"/>
                <w:kern w:val="2"/>
              </w:rPr>
              <w:t>2</w:t>
            </w:r>
            <w:r>
              <w:rPr>
                <w:rFonts w:ascii="Times New Roman" w:cs="宋体" w:hAnsi="Times New Roman" w:hint="eastAsia"/>
                <w:snapToGrid/>
                <w:color w:val="auto"/>
                <w:kern w:val="2"/>
              </w:rPr>
              <w:t>分；</w:t>
            </w:r>
          </w:p>
          <w:p>
            <w:pPr>
              <w:widowControl w:val="0"/>
              <w:kinsoku/>
              <w:autoSpaceDE/>
              <w:autoSpaceDN/>
              <w:adjustRightInd/>
              <w:snapToGrid/>
              <w:textAlignment w:val="auto"/>
              <w:rPr>
                <w:rFonts w:ascii="Times New Roman" w:cs="宋体" w:hAnsi="Times New Roman" w:hint="eastAsia"/>
                <w:snapToGrid/>
                <w:color w:val="auto"/>
                <w:kern w:val="2"/>
              </w:rPr>
            </w:pPr>
            <w:r>
              <w:rPr>
                <w:rFonts w:ascii="Times New Roman" w:cs="宋体" w:hAnsi="Times New Roman" w:hint="eastAsia"/>
                <w:snapToGrid/>
                <w:color w:val="auto"/>
                <w:kern w:val="2"/>
              </w:rPr>
              <w:t>3、方案一般，仅能满足部分项目需求，得</w:t>
            </w:r>
            <w:r>
              <w:rPr>
                <w:rFonts w:ascii="Times New Roman" w:cs="宋体" w:hAnsi="Times New Roman"/>
                <w:snapToGrid/>
                <w:color w:val="auto"/>
                <w:kern w:val="2"/>
              </w:rPr>
              <w:t>1</w:t>
            </w:r>
            <w:r>
              <w:rPr>
                <w:rFonts w:ascii="Times New Roman" w:cs="宋体" w:hAnsi="Times New Roman" w:hint="eastAsia"/>
                <w:snapToGrid/>
                <w:color w:val="auto"/>
                <w:kern w:val="2"/>
              </w:rPr>
              <w:t>分；</w:t>
            </w:r>
          </w:p>
          <w:p>
            <w:pPr>
              <w:widowControl w:val="0"/>
              <w:kinsoku/>
              <w:autoSpaceDE/>
              <w:autoSpaceDN/>
              <w:adjustRightInd/>
              <w:snapToGrid/>
              <w:textAlignment w:val="auto"/>
              <w:rPr>
                <w:rFonts w:ascii="Times New Roman" w:cs="宋体" w:hAnsi="Times New Roman"/>
                <w:snapToGrid/>
                <w:color w:val="auto"/>
                <w:kern w:val="2"/>
                <w:lang w:val="en-US" w:eastAsia="zh-CN"/>
              </w:rPr>
            </w:pPr>
            <w:r>
              <w:rPr>
                <w:rFonts w:ascii="Times New Roman" w:cs="宋体" w:hAnsi="Times New Roman"/>
                <w:snapToGrid/>
                <w:color w:val="auto"/>
                <w:kern w:val="2"/>
              </w:rPr>
              <w:t>4</w:t>
            </w:r>
            <w:r>
              <w:rPr>
                <w:rFonts w:ascii="Times New Roman" w:cs="宋体" w:hAnsi="Times New Roman" w:hint="eastAsia"/>
                <w:snapToGrid/>
                <w:color w:val="auto"/>
                <w:kern w:val="2"/>
              </w:rPr>
              <w:t>、方案不合理或未提供的得0分。</w:t>
            </w:r>
          </w:p>
        </w:tc>
        <w:tc>
          <w:tcPr>
            <w:tcW w:w="699" w:type="dxa"/>
            <w:vAlign w:val="center"/>
          </w:tcPr>
          <w:p>
            <w:pPr>
              <w:widowControl w:val="0"/>
              <w:kinsoku/>
              <w:autoSpaceDE/>
              <w:autoSpaceDN/>
              <w:adjustRightInd/>
              <w:snapToGrid/>
              <w:jc w:val="center"/>
              <w:textAlignment w:val="auto"/>
              <w:rPr>
                <w:rFonts w:ascii="Times New Roman" w:cs="宋体" w:hAnsi="Times New Roman"/>
                <w:snapToGrid/>
                <w:color w:val="auto"/>
                <w:kern w:val="2"/>
                <w:lang w:eastAsia="zh-CN"/>
              </w:rPr>
            </w:pPr>
            <w:r>
              <w:rPr>
                <w:rFonts w:ascii="Times New Roman" w:cs="宋体" w:hAnsi="Times New Roman"/>
                <w:snapToGrid/>
                <w:color w:val="auto"/>
                <w:kern w:val="2"/>
                <w:lang w:eastAsia="zh-CN"/>
              </w:rPr>
              <w:t>4</w:t>
            </w:r>
          </w:p>
        </w:tc>
      </w:tr>
    </w:tbl>
    <w:p>
      <w:pPr>
        <w:rPr>
          <w:rFonts w:ascii="Times New Roman" w:hAnsi="Times New Roman"/>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1"/>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customStyle="1" w:styleId="15">
    <w:name w:val="样式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16">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17">
    <w:name w:val="样式 1 小四"/>
    <w:pPr>
      <w:widowControl w:val="0"/>
      <w:spacing w:line="240" w:lineRule="auto"/>
      <w:jc w:val="left"/>
    </w:pPr>
    <w:rPr>
      <w:rFonts w:ascii="宋体" w:eastAsia="宋体" w:cs="Times New Roman"/>
      <w:kern w:val="2"/>
      <w:sz w:val="24"/>
      <w:szCs w:val="21"/>
      <w:lang w:val="en-US" w:eastAsia="zh-CN" w:bidi="ar-SA"/>
    </w:rPr>
  </w:style>
  <w:style w:type="paragraph" w:customStyle="1" w:styleId="18">
    <w:name w:val="样式 2 小四"/>
    <w:pPr>
      <w:widowControl w:val="0"/>
      <w:spacing w:line="240" w:lineRule="auto"/>
      <w:jc w:val="left"/>
    </w:pPr>
    <w:rPr>
      <w:rFonts w:ascii="宋体" w:eastAsia="宋体" w:cs="Times New Roman"/>
      <w:kern w:val="2"/>
      <w:sz w:val="24"/>
      <w:szCs w:val="21"/>
      <w:lang w:val="en-US" w:eastAsia="zh-CN" w:bidi="ar-SA"/>
    </w:rPr>
  </w:style>
  <w:style w:type="paragraph" w:customStyle="1" w:styleId="19">
    <w:name w:val="样式 3 小四"/>
    <w:pPr>
      <w:widowControl w:val="0"/>
      <w:spacing w:line="240" w:lineRule="auto"/>
      <w:jc w:val="left"/>
    </w:pPr>
    <w:rPr>
      <w:rFonts w:ascii="宋体" w:eastAsia="宋体" w:cs="Times New Roman"/>
      <w:kern w:val="2"/>
      <w:sz w:val="24"/>
      <w:szCs w:val="21"/>
      <w:lang w:val="en-US" w:eastAsia="zh-CN" w:bidi="ar-SA"/>
    </w:rPr>
  </w:style>
  <w:style w:type="paragraph" w:customStyle="1" w:styleId="20">
    <w:name w:val="样式 1 10 磅"/>
    <w:pPr>
      <w:widowControl w:val="0"/>
      <w:jc w:val="both"/>
    </w:pPr>
    <w:rPr>
      <w:rFonts w:ascii="等线" w:eastAsia="等线" w:cs="Arial"/>
      <w:kern w:val="2"/>
      <w:sz w:val="21"/>
      <w:szCs w:val="22"/>
      <w:lang w:val="en-US" w:eastAsia="zh-CN" w:bidi="ar-SA"/>
    </w:rPr>
  </w:style>
  <w:style w:type="paragraph" w:customStyle="1" w:styleId="21">
    <w:name w:val="样式 2 10 磅"/>
    <w:pPr>
      <w:widowControl w:val="0"/>
      <w:jc w:val="both"/>
    </w:pPr>
    <w:rPr>
      <w:rFonts w:ascii="等线" w:eastAsia="等线" w:cs="Arial"/>
      <w:kern w:val="2"/>
      <w:sz w:val="21"/>
      <w:szCs w:val="22"/>
      <w:lang w:val="en-US" w:eastAsia="zh-CN" w:bidi="ar-SA"/>
    </w:rPr>
  </w:style>
  <w:style w:type="paragraph" w:customStyle="1" w:styleId="22">
    <w:name w:val="样式 3 10 磅"/>
    <w:pPr>
      <w:widowControl w:val="0"/>
      <w:jc w:val="both"/>
    </w:pPr>
    <w:rPr>
      <w:rFonts w:ascii="Calibri" w:eastAsia="宋体" w:cs="Arial" w:hAnsi="Calibri"/>
      <w:kern w:val="2"/>
      <w:sz w:val="21"/>
      <w:szCs w:val="24"/>
      <w:lang w:val="en-US" w:eastAsia="zh-CN" w:bidi="ar-SA"/>
    </w:rPr>
  </w:style>
  <w:style w:type="paragraph" w:customStyle="1" w:styleId="23">
    <w:name w:val="样式 4 10 磅"/>
    <w:pPr>
      <w:widowControl w:val="0"/>
      <w:jc w:val="both"/>
    </w:pPr>
    <w:rPr>
      <w:rFonts w:ascii="等线" w:eastAsia="等线" w:cs="Arial"/>
      <w:kern w:val="2"/>
      <w:sz w:val="21"/>
      <w:szCs w:val="22"/>
      <w:lang w:val="en-US" w:eastAsia="zh-CN" w:bidi="ar-SA"/>
    </w:rPr>
  </w:style>
  <w:style w:type="paragraph" w:customStyle="1" w:styleId="24">
    <w:name w:val="样式 5 10 磅"/>
    <w:pPr>
      <w:widowControl w:val="0"/>
      <w:jc w:val="both"/>
    </w:pPr>
    <w:rPr>
      <w:rFonts w:ascii="等线" w:eastAsia="等线" w:cs="Arial"/>
      <w:kern w:val="2"/>
      <w:sz w:val="21"/>
      <w:szCs w:val="22"/>
      <w:lang w:val="en-US" w:eastAsia="zh-CN" w:bidi="ar-SA"/>
    </w:rPr>
  </w:style>
  <w:style w:type="paragraph" w:customStyle="1" w:styleId="25">
    <w:name w:val="样式 6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169</TotalTime>
  <Application>Yozo_Office</Application>
  <Pages>3</Pages>
  <Words>2364</Words>
  <Characters>2491</Characters>
  <Lines>208</Lines>
  <Paragraphs>135</Paragraphs>
  <CharactersWithSpaces>2664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张宇</dc:creator>
  <cp:lastModifiedBy>张琳</cp:lastModifiedBy>
  <cp:revision>3</cp:revision>
  <dcterms:created xsi:type="dcterms:W3CDTF">2025-10-27T13:42:00Z</dcterms:created>
  <dcterms:modified xsi:type="dcterms:W3CDTF">2025-11-26T02:42:03Z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672F1E110E49463795309CD03B14C5A3_11</vt:lpwstr>
  </property>
  <property fmtid="{D5CDD505-2E9C-101B-9397-08002B2CF9AE}" pid="4" name="KSOTemplateDocerSaveRecord">
    <vt:lpwstr>eyJoZGlkIjoiNzgzNTBlNjJiODg1YjZiNGU0NjgwMzgwNWFmYTg0NjciLCJ1c2VySWQiOiI4NDc3MzYxNjgifQ==</vt:lpwstr>
  </property>
</Properties>
</file>