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方正小标宋_GBK" w:eastAsia="方正小标宋_GBK" w:cs="宋体" w:hint="eastAsia"/>
          <w:sz w:val="44"/>
          <w:szCs w:val="44"/>
        </w:rPr>
      </w:pPr>
      <w:r>
        <w:rPr>
          <w:rFonts w:ascii="方正小标宋_GBK" w:eastAsia="方正小标宋_GBK" w:cs="宋体"/>
          <w:sz w:val="44"/>
          <w:szCs w:val="44"/>
        </w:rPr>
        <w:t xml:space="preserve">附件1         </w:t>
      </w:r>
      <w:bookmarkStart w:id="0" w:name="_GoBack"/>
      <w:bookmarkEnd w:id="0"/>
      <w:r>
        <w:rPr>
          <w:rFonts w:ascii="方正小标宋_GBK" w:eastAsia="方正小标宋_GBK" w:cs="宋体"/>
          <w:sz w:val="44"/>
          <w:szCs w:val="44"/>
        </w:rPr>
        <w:t xml:space="preserve"> </w:t>
      </w:r>
      <w:r>
        <w:rPr>
          <w:rFonts w:ascii="方正小标宋_GBK" w:eastAsia="方正小标宋_GBK" w:cs="宋体" w:hint="eastAsia"/>
          <w:sz w:val="44"/>
          <w:szCs w:val="44"/>
        </w:rPr>
        <w:t>采购要求</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eastAsia="宋体" w:cs="宋体" w:hint="eastAsia"/>
          <w:b/>
          <w:bCs/>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0"/>
        <w:jc w:val="both"/>
        <w:textAlignment w:val="auto"/>
        <w:outlineLvl w:val="0"/>
        <w:rPr>
          <w:rFonts w:ascii="方正黑体_GBK" w:eastAsia="方正黑体_GBK" w:cs="宋体" w:hint="eastAsia"/>
          <w:sz w:val="32"/>
          <w:szCs w:val="32"/>
          <w:lang w:val="en-US" w:eastAsia="zh-CN"/>
        </w:rPr>
      </w:pPr>
      <w:r>
        <w:rPr>
          <w:rFonts w:ascii="方正黑体_GBK" w:eastAsia="方正黑体_GBK" w:cs="宋体" w:hint="eastAsia"/>
          <w:sz w:val="32"/>
          <w:szCs w:val="32"/>
          <w:lang w:val="en-US" w:eastAsia="zh-CN"/>
        </w:rPr>
        <w:t>项目背景</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方正仿宋_GBK" w:eastAsia="方正仿宋_GBK" w:cs="宋体" w:hint="eastAsia"/>
          <w:sz w:val="32"/>
          <w:szCs w:val="32"/>
          <w:lang w:val="en-US" w:eastAsia="zh-CN"/>
        </w:rPr>
      </w:pPr>
      <w:r>
        <w:rPr>
          <w:rFonts w:ascii="方正仿宋_GBK" w:eastAsia="方正仿宋_GBK" w:cs="宋体" w:hint="eastAsia"/>
          <w:sz w:val="32"/>
          <w:szCs w:val="32"/>
          <w:lang w:val="en-US" w:eastAsia="zh-CN"/>
        </w:rPr>
        <w:t>大连海关</w:t>
      </w:r>
      <w:r>
        <w:rPr>
          <w:rFonts w:ascii="方正仿宋_GBK" w:eastAsia="方正仿宋_GBK" w:hint="eastAsia"/>
          <w:sz w:val="32"/>
          <w:szCs w:val="32"/>
        </w:rPr>
        <w:t>为深入贯彻落实智慧海关建设和“智关强国”行动要求，充分发挥数据的基础资源作用和创新引擎作用，全面提升大连海关治理能力水平，</w:t>
      </w:r>
      <w:r>
        <w:rPr>
          <w:rFonts w:ascii="方正仿宋_GBK" w:eastAsia="方正仿宋_GBK" w:cs="宋体" w:hint="eastAsia"/>
          <w:sz w:val="32"/>
          <w:szCs w:val="32"/>
          <w:lang w:val="en-US" w:eastAsia="zh-CN"/>
        </w:rPr>
        <w:t>满足信息化系统在</w:t>
      </w:r>
      <w:r>
        <w:rPr>
          <w:rFonts w:ascii="方正仿宋_GBK" w:eastAsia="方正仿宋_GBK" w:cs="宋体" w:hint="eastAsia"/>
          <w:sz w:val="32"/>
          <w:szCs w:val="32"/>
        </w:rPr>
        <w:t>系统对接、人工查询、巡视审计、业务监管、风险研判</w:t>
      </w:r>
      <w:r>
        <w:rPr>
          <w:rFonts w:ascii="方正仿宋_GBK" w:eastAsia="方正仿宋_GBK" w:cs="宋体" w:hint="eastAsia"/>
          <w:sz w:val="32"/>
          <w:szCs w:val="32"/>
          <w:lang w:eastAsia="zh-CN"/>
        </w:rPr>
        <w:t>、</w:t>
      </w:r>
      <w:r>
        <w:rPr>
          <w:rFonts w:ascii="方正仿宋_GBK" w:eastAsia="方正仿宋_GBK" w:cs="宋体" w:hint="eastAsia"/>
          <w:sz w:val="32"/>
          <w:szCs w:val="32"/>
        </w:rPr>
        <w:t>监控预警等应用需</w:t>
      </w:r>
      <w:r>
        <w:rPr>
          <w:rFonts w:ascii="方正仿宋_GBK" w:eastAsia="方正仿宋_GBK" w:cs="宋体" w:hint="eastAsia"/>
          <w:sz w:val="32"/>
          <w:szCs w:val="32"/>
          <w:lang w:val="en-US" w:eastAsia="zh-CN"/>
        </w:rPr>
        <w:t>要，急需提升多种</w:t>
      </w:r>
      <w:r>
        <w:rPr>
          <w:rFonts w:ascii="方正仿宋_GBK" w:eastAsia="方正仿宋_GBK" w:cs="宋体" w:hint="eastAsia"/>
          <w:sz w:val="32"/>
          <w:szCs w:val="32"/>
        </w:rPr>
        <w:t>数据</w:t>
      </w:r>
      <w:r>
        <w:rPr>
          <w:rFonts w:ascii="方正仿宋_GBK" w:eastAsia="方正仿宋_GBK" w:cs="宋体" w:hint="eastAsia"/>
          <w:sz w:val="32"/>
          <w:szCs w:val="32"/>
          <w:lang w:val="en-US" w:eastAsia="zh-CN"/>
        </w:rPr>
        <w:t>源、数据库、数据仓库间的数据调度和计算能力。</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方正仿宋_GBK" w:eastAsia="方正仿宋_GBK" w:cs="宋体"/>
          <w:sz w:val="32"/>
          <w:szCs w:val="32"/>
          <w:lang w:val="en-US" w:eastAsia="zh-CN"/>
        </w:rPr>
      </w:pPr>
      <w:r>
        <w:rPr>
          <w:rFonts w:ascii="方正仿宋_GBK" w:eastAsia="方正仿宋_GBK" w:cs="宋体" w:hint="eastAsia"/>
          <w:sz w:val="32"/>
          <w:szCs w:val="32"/>
          <w:lang w:val="en-US" w:eastAsia="zh-CN"/>
        </w:rPr>
        <w:t>当前系统间数据调度</w:t>
      </w:r>
      <w:r>
        <w:rPr>
          <w:rFonts w:ascii="方正仿宋_GBK" w:eastAsia="方正仿宋_GBK" w:cs="宋体" w:hint="eastAsia"/>
          <w:sz w:val="32"/>
          <w:szCs w:val="32"/>
        </w:rPr>
        <w:t>涉及到的数据库软件</w:t>
      </w:r>
      <w:r>
        <w:rPr>
          <w:rFonts w:ascii="方正仿宋_GBK" w:eastAsia="方正仿宋_GBK" w:cs="宋体" w:hint="eastAsia"/>
          <w:sz w:val="32"/>
          <w:szCs w:val="32"/>
          <w:lang w:val="en-US" w:eastAsia="zh-CN"/>
        </w:rPr>
        <w:t>包括Oracle、SqlServer、Mysql、达梦、金仓及南大通用GBase 8a MPP数据</w:t>
      </w:r>
      <w:r>
        <w:rPr>
          <w:rFonts w:ascii="方正仿宋_GBK" w:eastAsia="方正仿宋_GBK" w:cs="宋体" w:hint="eastAsia"/>
          <w:sz w:val="32"/>
          <w:szCs w:val="32"/>
        </w:rPr>
        <w:t>仓库等。要求建设一套能够支持在当前情况下满足数据抽取转换加载及计算要求的同步平台，因此采购数据抽取转换加载成品软件项目及相应的配套服务。</w:t>
      </w:r>
    </w:p>
    <w:p>
      <w:pPr>
        <w:keepNext w:val="0"/>
        <w:keepLines w:val="0"/>
        <w:pageBreakBefore w:val="0"/>
        <w:widowControl w:val="0"/>
        <w:numPr>
          <w:ilvl w:val="0"/>
          <w:numId w:val="1"/>
        </w:numPr>
        <w:kinsoku/>
        <w:wordWrap/>
        <w:overflowPunct/>
        <w:topLinePunct w:val="0"/>
        <w:autoSpaceDE/>
        <w:autoSpaceDN/>
        <w:adjustRightInd/>
        <w:snapToGrid/>
        <w:spacing w:line="560" w:lineRule="exact"/>
        <w:ind w:left="0" w:firstLine="0"/>
        <w:outlineLvl w:val="0"/>
        <w:rPr>
          <w:rFonts w:ascii="方正黑体_GBK" w:eastAsia="方正黑体_GBK" w:cs="宋体" w:hint="eastAsia"/>
          <w:sz w:val="32"/>
          <w:szCs w:val="32"/>
        </w:rPr>
      </w:pPr>
      <w:r>
        <w:rPr>
          <w:rFonts w:ascii="方正黑体_GBK" w:eastAsia="方正黑体_GBK" w:cs="宋体" w:hint="eastAsia"/>
          <w:sz w:val="32"/>
          <w:szCs w:val="32"/>
        </w:rPr>
        <w:t>报送内容（不限于以下内容）</w:t>
      </w:r>
    </w:p>
    <w:p>
      <w:pPr>
        <w:keepNext w:val="0"/>
        <w:keepLines w:val="0"/>
        <w:pageBreakBefore w:val="0"/>
        <w:widowControl w:val="0"/>
        <w:kinsoku/>
        <w:wordWrap/>
        <w:overflowPunct/>
        <w:topLinePunct w:val="0"/>
        <w:autoSpaceDE/>
        <w:autoSpaceDN/>
        <w:adjustRightInd/>
        <w:snapToGrid/>
        <w:spacing w:line="560" w:lineRule="exact"/>
        <w:ind w:left="0" w:firstLine="10"/>
        <w:jc w:val="left"/>
        <w:rPr>
          <w:rFonts w:ascii="方正仿宋_GBK" w:eastAsia="方正仿宋_GBK" w:cs="宋体" w:hint="eastAsia"/>
          <w:sz w:val="32"/>
          <w:szCs w:val="32"/>
        </w:rPr>
      </w:pPr>
      <w:r>
        <w:rPr>
          <w:rFonts w:ascii="方正仿宋_GBK" w:eastAsia="方正仿宋_GBK" w:cs="宋体" w:hint="eastAsia"/>
          <w:sz w:val="32"/>
          <w:szCs w:val="32"/>
        </w:rPr>
        <w:t>（一）供应商营业执照复印件一份、法人身份证明复印件一份；</w:t>
      </w:r>
    </w:p>
    <w:p>
      <w:pPr>
        <w:keepNext w:val="0"/>
        <w:keepLines w:val="0"/>
        <w:pageBreakBefore w:val="0"/>
        <w:widowControl w:val="0"/>
        <w:kinsoku/>
        <w:wordWrap/>
        <w:overflowPunct/>
        <w:topLinePunct w:val="0"/>
        <w:autoSpaceDE/>
        <w:autoSpaceDN/>
        <w:adjustRightInd/>
        <w:snapToGrid/>
        <w:spacing w:line="560" w:lineRule="exact"/>
        <w:ind w:left="0" w:firstLine="10"/>
        <w:jc w:val="left"/>
        <w:rPr>
          <w:rFonts w:ascii="方正仿宋_GBK" w:eastAsia="方正仿宋_GBK" w:cs="宋体" w:hint="eastAsia"/>
          <w:sz w:val="32"/>
          <w:szCs w:val="32"/>
        </w:rPr>
      </w:pPr>
      <w:r>
        <w:rPr>
          <w:rFonts w:ascii="方正仿宋_GBK" w:eastAsia="方正仿宋_GBK" w:cs="宋体" w:hint="eastAsia"/>
          <w:sz w:val="32"/>
          <w:szCs w:val="32"/>
        </w:rPr>
        <w:t>（二）为了本次项目安全顺利进行，“★”号项必须满足要求；</w:t>
      </w:r>
    </w:p>
    <w:p>
      <w:pPr>
        <w:keepNext w:val="0"/>
        <w:keepLines w:val="0"/>
        <w:pageBreakBefore w:val="0"/>
        <w:widowControl w:val="0"/>
        <w:kinsoku/>
        <w:wordWrap/>
        <w:overflowPunct/>
        <w:topLinePunct w:val="0"/>
        <w:autoSpaceDE/>
        <w:autoSpaceDN/>
        <w:adjustRightInd/>
        <w:snapToGrid/>
        <w:spacing w:line="560" w:lineRule="exact"/>
        <w:ind w:left="0" w:firstLine="10"/>
        <w:jc w:val="left"/>
        <w:rPr>
          <w:rFonts w:ascii="方正仿宋_GBK" w:eastAsia="方正仿宋_GBK" w:cs="宋体" w:hint="eastAsia"/>
          <w:sz w:val="32"/>
          <w:szCs w:val="32"/>
        </w:rPr>
      </w:pPr>
      <w:r>
        <w:rPr>
          <w:rFonts w:ascii="方正仿宋_GBK" w:eastAsia="方正仿宋_GBK" w:cs="宋体" w:hint="eastAsia"/>
          <w:sz w:val="32"/>
          <w:szCs w:val="32"/>
        </w:rPr>
        <w:t>（三）提供</w:t>
      </w:r>
      <w:r>
        <w:rPr>
          <w:rFonts w:ascii="方正仿宋_GBK" w:eastAsia="方正仿宋_GBK" w:cs="宋体"/>
          <w:sz w:val="32"/>
          <w:szCs w:val="32"/>
        </w:rPr>
        <w:t>本项目的实施方案、技术需求的印证材料、培训和售后方案</w:t>
      </w:r>
      <w:r>
        <w:rPr>
          <w:rFonts w:ascii="方正仿宋_GBK" w:eastAsia="方正仿宋_GBK" w:cs="宋体" w:hint="eastAsia"/>
          <w:sz w:val="32"/>
          <w:szCs w:val="32"/>
        </w:rPr>
        <w:t>；</w:t>
      </w:r>
    </w:p>
    <w:p>
      <w:pPr>
        <w:keepNext w:val="0"/>
        <w:keepLines w:val="0"/>
        <w:pageBreakBefore w:val="0"/>
        <w:widowControl w:val="0"/>
        <w:kinsoku/>
        <w:wordWrap/>
        <w:overflowPunct/>
        <w:topLinePunct w:val="0"/>
        <w:autoSpaceDE/>
        <w:autoSpaceDN/>
        <w:adjustRightInd/>
        <w:snapToGrid/>
        <w:spacing w:line="560" w:lineRule="exact"/>
        <w:ind w:left="0" w:firstLine="10"/>
        <w:jc w:val="left"/>
        <w:rPr>
          <w:rFonts w:ascii="方正仿宋_GBK" w:eastAsia="方正仿宋_GBK" w:cs="宋体" w:hint="eastAsia"/>
          <w:sz w:val="32"/>
          <w:szCs w:val="32"/>
        </w:rPr>
      </w:pPr>
      <w:r>
        <w:rPr>
          <w:rFonts w:ascii="方正仿宋_GBK" w:eastAsia="方正仿宋_GBK" w:cs="宋体" w:hint="eastAsia"/>
          <w:sz w:val="32"/>
          <w:szCs w:val="32"/>
        </w:rPr>
        <w:t>（四）三年内在经营活动中没有重大违法记录的书面证明（须有“信用中国”或“中国政府采购网”等机构查询记录）；</w:t>
      </w:r>
    </w:p>
    <w:p>
      <w:pPr>
        <w:keepNext w:val="0"/>
        <w:keepLines w:val="0"/>
        <w:pageBreakBefore w:val="0"/>
        <w:widowControl w:val="0"/>
        <w:kinsoku/>
        <w:wordWrap/>
        <w:overflowPunct/>
        <w:topLinePunct w:val="0"/>
        <w:autoSpaceDE/>
        <w:autoSpaceDN/>
        <w:adjustRightInd/>
        <w:snapToGrid/>
        <w:spacing w:line="560" w:lineRule="exact"/>
        <w:ind w:left="0" w:firstLine="10"/>
        <w:jc w:val="left"/>
        <w:rPr>
          <w:rFonts w:ascii="方正仿宋_GBK" w:eastAsia="方正仿宋_GBK" w:cs="宋体"/>
          <w:sz w:val="32"/>
          <w:szCs w:val="32"/>
        </w:rPr>
      </w:pPr>
      <w:r>
        <w:rPr>
          <w:rFonts w:ascii="方正仿宋_GBK" w:eastAsia="方正仿宋_GBK" w:cs="宋体" w:hint="eastAsia"/>
          <w:sz w:val="32"/>
          <w:szCs w:val="32"/>
        </w:rPr>
        <w:t>（五）三年内的主要工作业绩（</w:t>
      </w:r>
      <w:r>
        <w:rPr>
          <w:rFonts w:ascii="方正仿宋_GBK" w:eastAsia="方正仿宋_GBK" w:cs="宋体"/>
          <w:sz w:val="32"/>
          <w:szCs w:val="32"/>
        </w:rPr>
        <w:t>若有，</w:t>
      </w:r>
      <w:r>
        <w:rPr>
          <w:rFonts w:ascii="方正仿宋_GBK" w:eastAsia="方正仿宋_GBK" w:cs="宋体" w:hint="eastAsia"/>
          <w:sz w:val="32"/>
          <w:szCs w:val="32"/>
          <w:lang w:val="en-US" w:eastAsia="zh-CN"/>
        </w:rPr>
        <w:t>业绩证明材料须提供单项合同关键页复印件，至少包括首页、合同金额、服务内容、签字盖章页</w:t>
      </w:r>
      <w:r>
        <w:rPr>
          <w:rFonts w:ascii="方正仿宋_GBK" w:eastAsia="方正仿宋_GBK" w:cs="宋体"/>
          <w:sz w:val="32"/>
          <w:szCs w:val="32"/>
          <w:lang w:val="en-US" w:eastAsia="zh-CN"/>
        </w:rPr>
        <w:t>，涉及海关系统的工作业绩请优先提供</w:t>
      </w:r>
      <w:r>
        <w:rPr>
          <w:rFonts w:ascii="方正仿宋_GBK" w:eastAsia="方正仿宋_GBK" w:cs="宋体" w:hint="eastAsia"/>
          <w:sz w:val="32"/>
          <w:szCs w:val="32"/>
        </w:rPr>
        <w:t>）；</w:t>
      </w:r>
    </w:p>
    <w:p>
      <w:pPr>
        <w:pStyle w:val="29"/>
        <w:widowControl w:val="0"/>
        <w:kinsoku/>
        <w:autoSpaceDE/>
        <w:autoSpaceDN/>
        <w:adjustRightInd/>
        <w:snapToGrid/>
        <w:textAlignment w:val="auto"/>
        <w:rPr>
          <w:rFonts w:ascii="方正仿宋_GBK" w:eastAsia="方正仿宋_GBK" w:cs="宋体" w:hint="eastAsia"/>
          <w:sz w:val="32"/>
          <w:szCs w:val="32"/>
        </w:rPr>
      </w:pPr>
      <w:r>
        <w:rPr>
          <w:rFonts w:ascii="方正仿宋_GBK" w:eastAsia="方正仿宋_GBK" w:cs="宋体" w:hint="eastAsia"/>
          <w:snapToGrid w:val="0"/>
          <w:sz w:val="32"/>
          <w:szCs w:val="32"/>
        </w:rPr>
        <w:t>（六）</w:t>
      </w:r>
      <w:r>
        <w:rPr>
          <w:rFonts w:ascii="方正仿宋_GBK" w:eastAsia="方正仿宋_GBK" w:cs="宋体"/>
          <w:snapToGrid w:val="0"/>
          <w:sz w:val="32"/>
          <w:szCs w:val="32"/>
        </w:rPr>
        <w:t>资质证明材料。包括投标人</w:t>
      </w:r>
      <w:r>
        <w:rPr>
          <w:rFonts w:ascii="方正仿宋_GBK" w:eastAsia="方正仿宋_GBK" w:cs="宋体" w:hint="eastAsia"/>
          <w:sz w:val="32"/>
          <w:szCs w:val="32"/>
          <w:lang w:eastAsia="zh-CN"/>
        </w:rPr>
        <w:t>具有国家认证认可的监督管理部门批准设立的认证机构颁发</w:t>
      </w:r>
      <w:r>
        <w:rPr>
          <w:rFonts w:ascii="方正仿宋_GBK" w:eastAsia="方正仿宋_GBK" w:cs="宋体" w:hint="eastAsia"/>
          <w:sz w:val="32"/>
          <w:szCs w:val="32"/>
          <w:lang w:val="en-US" w:eastAsia="zh-CN"/>
        </w:rPr>
        <w:t>的相关证书（如</w:t>
      </w:r>
      <w:r>
        <w:rPr>
          <w:rFonts w:ascii="方正仿宋_GBK" w:eastAsia="方正仿宋_GBK" w:cs="宋体" w:hint="eastAsia"/>
          <w:sz w:val="32"/>
          <w:szCs w:val="32"/>
          <w:lang w:eastAsia="zh-CN"/>
        </w:rPr>
        <w:t>质量管理体系认证证书、信息服务管理体系认证证书、信息安全管理</w:t>
      </w:r>
      <w:r>
        <w:rPr>
          <w:rFonts w:ascii="方正仿宋_GBK" w:eastAsia="方正仿宋_GBK" w:cs="宋体" w:hint="eastAsia"/>
          <w:color w:val="auto"/>
          <w:kern w:val="2"/>
          <w:sz w:val="32"/>
          <w:szCs w:val="32"/>
          <w:lang w:eastAsia="zh-CN"/>
        </w:rPr>
        <w:t>体系认证证书等）、与本项目采购内容核心技术相关的著作权（需注明该著作权对应采购文件的需求具体内容及章节（页码））、项目经理</w:t>
      </w:r>
      <w:r>
        <w:rPr>
          <w:rFonts w:ascii="方正仿宋_GBK" w:eastAsia="方正仿宋_GBK" w:cs="宋体" w:hint="eastAsia"/>
          <w:color w:val="auto"/>
          <w:kern w:val="2"/>
          <w:sz w:val="32"/>
          <w:szCs w:val="32"/>
          <w:lang w:val="en-US" w:eastAsia="zh-CN"/>
        </w:rPr>
        <w:t>资质材料</w:t>
      </w:r>
      <w:r>
        <w:rPr>
          <w:rFonts w:ascii="方正仿宋_GBK" w:eastAsia="方正仿宋_GBK" w:cs="宋体"/>
          <w:color w:val="auto"/>
          <w:kern w:val="2"/>
          <w:sz w:val="32"/>
          <w:szCs w:val="32"/>
          <w:lang w:val="en-US" w:eastAsia="zh-CN"/>
        </w:rPr>
        <w:t>(学历证明材料及相关资质证书材料等）</w:t>
      </w:r>
      <w:r>
        <w:rPr>
          <w:rFonts w:ascii="方正仿宋_GBK" w:eastAsia="方正仿宋_GBK" w:cs="宋体" w:hint="eastAsia"/>
          <w:color w:val="auto"/>
          <w:kern w:val="2"/>
          <w:sz w:val="32"/>
          <w:szCs w:val="32"/>
          <w:lang w:val="en-US" w:eastAsia="zh-CN"/>
        </w:rPr>
        <w:t>、</w:t>
      </w:r>
      <w:r>
        <w:rPr>
          <w:rFonts w:ascii="方正仿宋_GBK" w:eastAsia="方正仿宋_GBK" w:cs="宋体" w:hint="eastAsia"/>
          <w:snapToGrid/>
          <w:color w:val="auto"/>
          <w:kern w:val="2"/>
          <w:sz w:val="32"/>
          <w:szCs w:val="32"/>
          <w:lang w:eastAsia="zh-CN"/>
        </w:rPr>
        <w:t>软件产品具有的CNAS （中国认可国际互认检测）资质的第三方测试报告(带有 CNAS 标志)证书等材料</w:t>
      </w:r>
      <w:r>
        <w:rPr>
          <w:rFonts w:ascii="方正仿宋_GBK" w:eastAsia="方正仿宋_GBK" w:cs="宋体"/>
          <w:snapToGrid/>
          <w:color w:val="auto"/>
          <w:kern w:val="2"/>
          <w:sz w:val="32"/>
          <w:szCs w:val="32"/>
          <w:lang w:eastAsia="zh-CN"/>
        </w:rPr>
        <w:t>；</w:t>
      </w:r>
    </w:p>
    <w:p>
      <w:pPr>
        <w:keepNext w:val="0"/>
        <w:keepLines w:val="0"/>
        <w:pageBreakBefore w:val="0"/>
        <w:widowControl w:val="0"/>
        <w:kinsoku/>
        <w:wordWrap/>
        <w:overflowPunct/>
        <w:topLinePunct w:val="0"/>
        <w:autoSpaceDE/>
        <w:autoSpaceDN/>
        <w:adjustRightInd/>
        <w:snapToGrid/>
        <w:spacing w:line="560" w:lineRule="exact"/>
        <w:ind w:left="0" w:firstLine="10"/>
        <w:jc w:val="left"/>
        <w:rPr>
          <w:rFonts w:ascii="方正仿宋_GBK" w:eastAsia="方正仿宋_GBK" w:cs="宋体" w:hint="eastAsia"/>
          <w:sz w:val="32"/>
          <w:szCs w:val="32"/>
        </w:rPr>
      </w:pPr>
      <w:r>
        <w:rPr>
          <w:rFonts w:ascii="方正仿宋_GBK" w:eastAsia="方正仿宋_GBK" w:cs="宋体" w:hint="eastAsia"/>
          <w:sz w:val="32"/>
          <w:szCs w:val="32"/>
        </w:rPr>
        <w:t>（</w:t>
      </w:r>
      <w:r>
        <w:rPr>
          <w:rFonts w:ascii="方正仿宋_GBK" w:eastAsia="方正仿宋_GBK" w:cs="宋体"/>
          <w:sz w:val="32"/>
          <w:szCs w:val="32"/>
        </w:rPr>
        <w:t>七</w:t>
      </w:r>
      <w:r>
        <w:rPr>
          <w:rFonts w:ascii="方正仿宋_GBK" w:eastAsia="方正仿宋_GBK" w:cs="宋体" w:hint="eastAsia"/>
          <w:sz w:val="32"/>
          <w:szCs w:val="32"/>
        </w:rPr>
        <w:t>）报价单。报价超过预算金额的，报价无效；</w:t>
      </w:r>
    </w:p>
    <w:p>
      <w:pPr>
        <w:keepNext w:val="0"/>
        <w:keepLines w:val="0"/>
        <w:pageBreakBefore w:val="0"/>
        <w:widowControl w:val="0"/>
        <w:kinsoku/>
        <w:wordWrap/>
        <w:overflowPunct/>
        <w:topLinePunct w:val="0"/>
        <w:autoSpaceDE/>
        <w:autoSpaceDN/>
        <w:adjustRightInd/>
        <w:snapToGrid/>
        <w:spacing w:line="560" w:lineRule="exact"/>
        <w:ind w:left="0" w:firstLine="10"/>
        <w:jc w:val="left"/>
        <w:rPr>
          <w:rFonts w:ascii="方正仿宋_GBK" w:eastAsia="方正仿宋_GBK" w:cs="宋体" w:hint="eastAsia"/>
          <w:b/>
          <w:bCs/>
          <w:sz w:val="32"/>
          <w:szCs w:val="32"/>
          <w:lang w:val="en-US" w:eastAsia="zh-CN"/>
        </w:rPr>
      </w:pPr>
      <w:r>
        <w:rPr>
          <w:rFonts w:ascii="方正仿宋_GBK" w:eastAsia="方正仿宋_GBK" w:cs="宋体" w:hint="eastAsia"/>
          <w:sz w:val="32"/>
          <w:szCs w:val="32"/>
        </w:rPr>
        <w:t>（</w:t>
      </w:r>
      <w:r>
        <w:rPr>
          <w:rFonts w:ascii="方正仿宋_GBK" w:eastAsia="方正仿宋_GBK" w:cs="宋体"/>
          <w:sz w:val="32"/>
          <w:szCs w:val="32"/>
        </w:rPr>
        <w:t>八</w:t>
      </w:r>
      <w:r>
        <w:rPr>
          <w:rFonts w:ascii="方正仿宋_GBK" w:eastAsia="方正仿宋_GBK" w:cs="宋体" w:hint="eastAsia"/>
          <w:sz w:val="32"/>
          <w:szCs w:val="32"/>
        </w:rPr>
        <w:t>）以上材料每页都要加盖公章并全部密封于档案袋内，且档案袋需要用封条密封、加盖公章并标注“项目名称”及“项目编号”。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0"/>
        <w:jc w:val="both"/>
        <w:textAlignment w:val="auto"/>
        <w:outlineLvl w:val="0"/>
        <w:rPr>
          <w:rFonts w:ascii="方正黑体_GBK" w:eastAsia="方正黑体_GBK" w:cs="宋体" w:hint="eastAsia"/>
          <w:sz w:val="32"/>
          <w:szCs w:val="32"/>
          <w:lang w:val="en-US" w:eastAsia="zh-CN"/>
        </w:rPr>
      </w:pPr>
      <w:r>
        <w:rPr>
          <w:rFonts w:ascii="方正黑体_GBK" w:eastAsia="方正黑体_GBK" w:cs="宋体" w:hint="eastAsia"/>
          <w:sz w:val="32"/>
          <w:szCs w:val="32"/>
          <w:lang w:val="en-US" w:eastAsia="zh-CN"/>
        </w:rPr>
        <w:t>技术需求</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hint="eastAsia"/>
          <w:b/>
          <w:sz w:val="32"/>
          <w:szCs w:val="32"/>
        </w:rPr>
        <w:t>★</w:t>
      </w:r>
      <w:r>
        <w:rPr>
          <w:rFonts w:ascii="方正仿宋_GBK" w:eastAsia="方正仿宋_GBK" w:cs="宋体" w:hint="eastAsia"/>
          <w:b w:val="0"/>
          <w:bCs w:val="0"/>
          <w:sz w:val="32"/>
          <w:szCs w:val="32"/>
        </w:rPr>
        <w:t>部署环境支持</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适配常见的基于 arm/x86 处理器的服务器、终端设备等，如银河麒麟操作系统，华为鲲鹏、飞腾等系列处理器，实现稳定部署运行。</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hint="eastAsia"/>
          <w:b/>
          <w:sz w:val="32"/>
          <w:szCs w:val="32"/>
        </w:rPr>
        <w:t>★</w:t>
      </w:r>
      <w:r>
        <w:rPr>
          <w:rFonts w:ascii="方正仿宋_GBK" w:eastAsia="方正仿宋_GBK" w:cs="宋体" w:hint="eastAsia"/>
          <w:b w:val="0"/>
          <w:bCs w:val="0"/>
          <w:sz w:val="32"/>
          <w:szCs w:val="32"/>
        </w:rPr>
        <w:t>数据源支持</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支持Oracle、SqlServer、MySql、postgresql 、GBase 8a、达梦、人大金仓、文本文件等数据源，实现源端和目标端的异构数据同步，能够采集不少于2000张表。</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hint="eastAsia"/>
          <w:b/>
          <w:sz w:val="32"/>
          <w:szCs w:val="32"/>
        </w:rPr>
        <w:t>★</w:t>
      </w:r>
      <w:r>
        <w:rPr>
          <w:rFonts w:ascii="方正仿宋_GBK" w:eastAsia="方正仿宋_GBK" w:cs="宋体" w:hint="eastAsia"/>
          <w:b w:val="0"/>
          <w:bCs w:val="0"/>
          <w:sz w:val="32"/>
          <w:szCs w:val="32"/>
        </w:rPr>
        <w:t>数据采集影响</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支持中间机采集，不得在数据库服务器安装任何软件或插件，不得明显影响源端数据环境。</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hint="eastAsia"/>
          <w:b/>
          <w:sz w:val="32"/>
          <w:szCs w:val="32"/>
        </w:rPr>
        <w:t>★</w:t>
      </w:r>
      <w:r>
        <w:rPr>
          <w:rFonts w:ascii="方正仿宋_GBK" w:eastAsia="方正仿宋_GBK" w:cs="宋体" w:hint="eastAsia"/>
          <w:b w:val="0"/>
          <w:bCs w:val="0"/>
          <w:sz w:val="32"/>
          <w:szCs w:val="32"/>
        </w:rPr>
        <w:t>定时采集</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支持各种数据库源端定时采集和定时任务调度服务；</w:t>
      </w:r>
    </w:p>
    <w:p>
      <w:pPr>
        <w:keepNext w:val="0"/>
        <w:keepLines w:val="0"/>
        <w:pageBreakBefore w:val="0"/>
        <w:widowControl w:val="0"/>
        <w:numPr>
          <w:ilvl w:val="0"/>
          <w:numId w:val="2"/>
        </w:numPr>
        <w:shd w:val="clear" w:color="auto" w:fill="auto"/>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lang w:val="en-US" w:eastAsia="zh-CN"/>
        </w:rPr>
        <w:t>工具架构：采用中心化数据交换架构，通过 “一次采集、全域复用” 的设计，从根本上降低数据采集对生产库的影响，支持对高频变更数据采用日志解析，对大规模历史数据支持批式处理，确保数据的流转既满足实时性又兼顾吞吐量；</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数据同步链路编排</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支持不同数据源表之间的任意编排和组合，可通过配置将不同数据源表同步到同一个目标数据库中。</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DDL转换</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支持异构数据源表结构转换，即指定源端数据库表结构转换成目标数据库的表结构，提供导出下载。</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表结构变化同步</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支持对源端DDL表结构变更的实时记录，自动同步到目标端。</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数据比对组件</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支持源端和目标端的记录数比对（全表、条件）。支持源端和目标端的内容比对</w:t>
      </w:r>
      <w:r>
        <w:rPr>
          <w:rFonts w:ascii="方正仿宋_GBK" w:eastAsia="方正仿宋_GBK" w:cs="宋体" w:hint="eastAsia"/>
          <w:b w:val="0"/>
          <w:bCs w:val="0"/>
          <w:sz w:val="32"/>
          <w:szCs w:val="32"/>
          <w:lang w:eastAsia="zh-CN"/>
        </w:rPr>
        <w:t>。</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数据修复组件</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在保障源端与目标端数据完全一致的前提下，支持表级全量数据修复和支持表级行级数据修复功能。</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API扩展服务</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提供基本的API服务配置能力，包括添加、删除和修改API服务。提供API权限控制、性能监控等高级配置功能。</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支持组件二次开发</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提供SDK驱动，可自主对接数据源，实现数据发布、加工与订阅需求。</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分库分表合并功能</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多个数据源表管理复制过程中，合并成一个表。单个数据源表管理复制过程中，可拆分成多张表。</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消息组件</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可提供自研消息队列组件（满足国产化要求），并具备灾备功能，支持灾备切换服务。</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计算服务兼容</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lang w:val="en-US" w:eastAsia="zh-CN"/>
        </w:rPr>
        <w:t>确保有能力在异构数据库间采集数据，即时计算、整合至目标数据库或数据仓库；</w:t>
      </w:r>
      <w:r>
        <w:rPr>
          <w:rFonts w:ascii="方正仿宋_GBK" w:eastAsia="方正仿宋_GBK" w:cs="宋体" w:hint="eastAsia"/>
          <w:b w:val="0"/>
          <w:bCs w:val="0"/>
          <w:sz w:val="32"/>
          <w:szCs w:val="32"/>
        </w:rPr>
        <w:t>支持多表增量关联计算服务（全表关联）</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支持数据量较大的表分批计算服务（大表分批处理）</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分布式部署</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支持分布式部署，每个节点按需合理分配资源，提高发布、加工、计算、订阅等功能得资源使用率，避免出现单个节点资源占用率过高，造成节点堵塞等。</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支持横向扩展</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当单个服务器的处理能力达到瓶颈时，增加系统中相同类型组件（如服务器、节点等）的数量，来提高系统的处理能力、存储容量和性能。</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数据对象溯源功能</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表、ip地址、用户名等可以作为溯源对象，输入相关信息，可核查流转痕迹，帮助用户追踪相关数据流信息。</w:t>
      </w:r>
    </w:p>
    <w:p>
      <w:pPr>
        <w:keepNext w:val="0"/>
        <w:keepLines w:val="0"/>
        <w:pageBreakBefore w:val="0"/>
        <w:widowControl w:val="0"/>
        <w:numPr>
          <w:ilvl w:val="0"/>
          <w:numId w:val="2"/>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预警策略</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在实时数据同步任务过程中出现的报错、状态变化等信息，应能通过短信、邮件等方式与自有预警平台对接，实现及时预警。</w:t>
      </w:r>
    </w:p>
    <w:p>
      <w:pPr>
        <w:keepNext w:val="0"/>
        <w:keepLines w:val="0"/>
        <w:pageBreakBefore w:val="0"/>
        <w:widowControl w:val="0"/>
        <w:numPr>
          <w:ilvl w:val="0"/>
          <w:numId w:val="2"/>
        </w:numPr>
        <w:shd w:val="clear" w:color="auto" w:fill="auto"/>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与GBase数据库对接（重要）</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rPr>
        <w:t>GBase作为数据应用服务最主要的数据</w:t>
      </w:r>
      <w:r>
        <w:rPr>
          <w:rFonts w:ascii="方正仿宋_GBK" w:eastAsia="方正仿宋_GBK" w:cs="宋体" w:hint="eastAsia"/>
          <w:b w:val="0"/>
          <w:bCs w:val="0"/>
          <w:sz w:val="32"/>
          <w:szCs w:val="32"/>
          <w:lang w:val="en-US" w:eastAsia="zh-CN"/>
        </w:rPr>
        <w:t>目标</w:t>
      </w:r>
      <w:r>
        <w:rPr>
          <w:rFonts w:ascii="方正仿宋_GBK" w:eastAsia="方正仿宋_GBK" w:cs="宋体" w:hint="eastAsia"/>
          <w:b w:val="0"/>
          <w:bCs w:val="0"/>
          <w:sz w:val="32"/>
          <w:szCs w:val="32"/>
        </w:rPr>
        <w:t>，数据融合工具可使用jdbc或者odbc中间件与GBase数据库对接，实现以GBase为源端和目标端的异构数据同步。</w:t>
      </w:r>
    </w:p>
    <w:p>
      <w:pPr>
        <w:keepNext w:val="0"/>
        <w:keepLines w:val="0"/>
        <w:pageBreakBefore w:val="0"/>
        <w:widowControl w:val="0"/>
        <w:numPr>
          <w:ilvl w:val="0"/>
          <w:numId w:val="2"/>
        </w:numPr>
        <w:shd w:val="clear" w:color="auto" w:fill="auto"/>
        <w:tabs>
          <w:tab w:val="left" w:pos="426"/>
        </w:tabs>
        <w:kinsoku/>
        <w:wordWrap/>
        <w:overflowPunct/>
        <w:topLinePunct w:val="0"/>
        <w:autoSpaceDE/>
        <w:autoSpaceDN/>
        <w:adjustRightInd/>
        <w:snapToGrid w:val="0"/>
        <w:spacing w:line="560" w:lineRule="exact"/>
        <w:ind w:left="425" w:hanging="425"/>
        <w:rPr>
          <w:rFonts w:ascii="方正仿宋_GBK" w:eastAsia="方正仿宋_GBK" w:cs="宋体" w:hint="eastAsia"/>
          <w:sz w:val="32"/>
          <w:szCs w:val="32"/>
        </w:rPr>
      </w:pPr>
      <w:r>
        <w:rPr>
          <w:rFonts w:ascii="方正仿宋_GBK" w:eastAsia="方正仿宋_GBK" w:cs="宋体" w:hint="eastAsia"/>
          <w:sz w:val="32"/>
          <w:szCs w:val="32"/>
        </w:rPr>
        <w:t>GBase增量文件解析 （重要）</w:t>
      </w:r>
      <w:r>
        <w:rPr>
          <w:rFonts w:ascii="方正仿宋_GBK" w:eastAsia="方正仿宋_GBK" w:cs="宋体" w:hint="eastAsia"/>
          <w:sz w:val="32"/>
          <w:szCs w:val="32"/>
          <w:lang w:eastAsia="zh-CN"/>
        </w:rPr>
        <w:t>：</w:t>
      </w:r>
      <w:r>
        <w:rPr>
          <w:rFonts w:ascii="方正仿宋_GBK" w:eastAsia="方正仿宋_GBK" w:cs="宋体" w:hint="eastAsia"/>
          <w:sz w:val="32"/>
          <w:szCs w:val="32"/>
          <w:lang w:val="en-US" w:eastAsia="zh-CN"/>
        </w:rPr>
        <w:t>GBase 8a 数据库入库功能，</w:t>
      </w:r>
      <w:r>
        <w:rPr>
          <w:rFonts w:ascii="方正仿宋_GBK" w:eastAsia="方正仿宋_GBK" w:cs="宋体" w:hint="eastAsia"/>
          <w:sz w:val="32"/>
          <w:szCs w:val="32"/>
          <w:lang w:eastAsia="zh-CN"/>
        </w:rPr>
        <w:t>此次采购的工具</w:t>
      </w:r>
      <w:r>
        <w:rPr>
          <w:rFonts w:ascii="方正仿宋_GBK" w:eastAsia="方正仿宋_GBK" w:cs="宋体" w:hint="eastAsia"/>
          <w:sz w:val="32"/>
          <w:szCs w:val="32"/>
          <w:lang w:val="en-US" w:eastAsia="zh-CN"/>
        </w:rPr>
        <w:t>产品</w:t>
      </w:r>
      <w:r>
        <w:rPr>
          <w:rFonts w:ascii="方正仿宋_GBK" w:eastAsia="方正仿宋_GBK" w:cs="宋体" w:hint="eastAsia"/>
          <w:sz w:val="32"/>
          <w:szCs w:val="32"/>
          <w:lang w:eastAsia="zh-CN"/>
        </w:rPr>
        <w:t>需要参照GBase的方式读</w:t>
      </w:r>
      <w:r>
        <w:rPr>
          <w:rFonts w:ascii="方正仿宋_GBK" w:eastAsia="方正仿宋_GBK" w:cs="宋体" w:hint="eastAsia"/>
          <w:sz w:val="32"/>
          <w:szCs w:val="32"/>
          <w:lang w:val="en-US" w:eastAsia="zh-CN"/>
        </w:rPr>
        <w:t>增量日志方式</w:t>
      </w:r>
      <w:r>
        <w:rPr>
          <w:rFonts w:ascii="方正仿宋_GBK" w:eastAsia="方正仿宋_GBK" w:cs="宋体" w:hint="eastAsia"/>
          <w:sz w:val="32"/>
          <w:szCs w:val="32"/>
          <w:lang w:eastAsia="zh-CN"/>
        </w:rPr>
        <w:t>，将其写入目标端的数据库中。同时提供增量文件更新的日志记录回溯，故障定位和手工恢复等功能。（如满足此项功能，需通过</w:t>
      </w:r>
      <w:r>
        <w:rPr>
          <w:rFonts w:ascii="方正仿宋_GBK" w:eastAsia="方正仿宋_GBK" w:cs="宋体" w:hint="eastAsia"/>
          <w:sz w:val="32"/>
          <w:szCs w:val="32"/>
          <w:lang w:val="en-US" w:eastAsia="zh-CN"/>
        </w:rPr>
        <w:t>电子介质提供播放视频演示，电子介质随投标文件一并提供）。</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0"/>
        <w:jc w:val="both"/>
        <w:textAlignment w:val="auto"/>
        <w:outlineLvl w:val="0"/>
        <w:rPr>
          <w:rFonts w:ascii="方正黑体_GBK" w:eastAsia="方正黑体_GBK" w:cs="宋体" w:hint="eastAsia"/>
          <w:sz w:val="32"/>
          <w:szCs w:val="32"/>
          <w:lang w:val="en-US" w:eastAsia="zh-CN"/>
        </w:rPr>
      </w:pPr>
      <w:r>
        <w:rPr>
          <w:rFonts w:ascii="方正黑体_GBK" w:eastAsia="方正黑体_GBK" w:cs="宋体" w:hint="eastAsia"/>
          <w:sz w:val="32"/>
          <w:szCs w:val="32"/>
          <w:lang w:val="en-US" w:eastAsia="zh-CN"/>
        </w:rPr>
        <w:t>其他需求</w:t>
      </w:r>
    </w:p>
    <w:p>
      <w:pPr>
        <w:keepNext w:val="0"/>
        <w:keepLines w:val="0"/>
        <w:pageBreakBefore w:val="0"/>
        <w:widowControl w:val="0"/>
        <w:numPr>
          <w:ilvl w:val="0"/>
          <w:numId w:val="3"/>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lang w:val="en-US" w:eastAsia="zh-CN"/>
        </w:rPr>
      </w:pPr>
      <w:bookmarkStart w:id="1" w:name="_Toc24972413"/>
      <w:r>
        <w:rPr>
          <w:rFonts w:ascii="方正仿宋_GBK" w:eastAsia="方正仿宋_GBK" w:cs="宋体" w:hint="eastAsia"/>
          <w:b w:val="0"/>
          <w:bCs w:val="0"/>
          <w:sz w:val="32"/>
          <w:szCs w:val="32"/>
        </w:rPr>
        <w:t>实施期限要求</w:t>
      </w:r>
      <w:bookmarkEnd w:id="1"/>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lang w:val="en-US" w:eastAsia="zh-CN"/>
        </w:rPr>
        <w:t>按要求完成全部链路建设并完成全量数据同步，链路增量运行正常，目标数据可用。实施周期不超过一周；</w:t>
      </w:r>
    </w:p>
    <w:p>
      <w:pPr>
        <w:keepNext w:val="0"/>
        <w:keepLines w:val="0"/>
        <w:pageBreakBefore w:val="0"/>
        <w:widowControl w:val="0"/>
        <w:numPr>
          <w:ilvl w:val="0"/>
          <w:numId w:val="3"/>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sz w:val="32"/>
          <w:szCs w:val="32"/>
        </w:rPr>
      </w:pPr>
      <w:r>
        <w:rPr>
          <w:rFonts w:ascii="方正仿宋_GBK" w:eastAsia="方正仿宋_GBK" w:cs="宋体" w:hint="eastAsia"/>
          <w:b w:val="0"/>
          <w:bCs w:val="0"/>
          <w:sz w:val="32"/>
          <w:szCs w:val="32"/>
        </w:rPr>
        <w:t>培训要求</w:t>
      </w:r>
      <w:r>
        <w:rPr>
          <w:rFonts w:ascii="方正仿宋_GBK" w:eastAsia="方正仿宋_GBK" w:cs="宋体" w:hint="eastAsia"/>
          <w:b w:val="0"/>
          <w:bCs w:val="0"/>
          <w:sz w:val="32"/>
          <w:szCs w:val="32"/>
          <w:lang w:eastAsia="zh-CN"/>
        </w:rPr>
        <w:t>：</w:t>
      </w:r>
      <w:r>
        <w:rPr>
          <w:rFonts w:ascii="方正仿宋_GBK" w:eastAsia="方正仿宋_GBK" w:cs="宋体" w:hint="eastAsia"/>
          <w:b w:val="0"/>
          <w:bCs w:val="0"/>
          <w:sz w:val="32"/>
          <w:szCs w:val="32"/>
          <w:lang w:val="en-US" w:eastAsia="zh-CN"/>
        </w:rPr>
        <w:t>实施方提供培训教材、制定培训方案、确保我方工程师能熟练操作。</w:t>
      </w:r>
    </w:p>
    <w:p>
      <w:pPr>
        <w:keepNext w:val="0"/>
        <w:keepLines w:val="0"/>
        <w:pageBreakBefore w:val="0"/>
        <w:widowControl w:val="0"/>
        <w:numPr>
          <w:ilvl w:val="0"/>
          <w:numId w:val="3"/>
        </w:numPr>
        <w:tabs>
          <w:tab w:val="left" w:pos="426"/>
        </w:tabs>
        <w:kinsoku/>
        <w:wordWrap/>
        <w:overflowPunct/>
        <w:topLinePunct w:val="0"/>
        <w:autoSpaceDE/>
        <w:autoSpaceDN/>
        <w:bidi w:val="0"/>
        <w:adjustRightInd/>
        <w:snapToGrid w:val="0"/>
        <w:spacing w:line="560" w:lineRule="exact"/>
        <w:ind w:left="425" w:hanging="425"/>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售后服务要求</w:t>
      </w:r>
      <w:r>
        <w:rPr>
          <w:rFonts w:ascii="方正仿宋_GBK" w:eastAsia="方正仿宋_GBK" w:cs="宋体" w:hint="eastAsia"/>
          <w:b w:val="0"/>
          <w:bCs w:val="0"/>
          <w:sz w:val="32"/>
          <w:szCs w:val="32"/>
          <w:lang w:eastAsia="zh-CN"/>
        </w:rPr>
        <w:t>：</w:t>
      </w:r>
    </w:p>
    <w:p>
      <w:pPr>
        <w:keepNext w:val="0"/>
        <w:keepLines w:val="0"/>
        <w:pageBreakBefore w:val="0"/>
        <w:widowControl w:val="0"/>
        <w:numPr>
          <w:ilvl w:val="1"/>
          <w:numId w:val="3"/>
        </w:numPr>
        <w:tabs>
          <w:tab w:val="clear" w:pos="840"/>
          <w:tab w:val="left" w:pos="426"/>
        </w:tabs>
        <w:kinsoku/>
        <w:wordWrap/>
        <w:overflowPunct/>
        <w:topLinePunct w:val="0"/>
        <w:autoSpaceDE/>
        <w:autoSpaceDN/>
        <w:bidi w:val="0"/>
        <w:adjustRightInd/>
        <w:snapToGrid w:val="0"/>
        <w:spacing w:line="560" w:lineRule="exact"/>
        <w:ind w:left="840" w:hanging="420"/>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质保期：通过项目验收之日起一年。</w:t>
      </w:r>
    </w:p>
    <w:p>
      <w:pPr>
        <w:keepNext w:val="0"/>
        <w:keepLines w:val="0"/>
        <w:pageBreakBefore w:val="0"/>
        <w:widowControl w:val="0"/>
        <w:numPr>
          <w:ilvl w:val="1"/>
          <w:numId w:val="3"/>
        </w:numPr>
        <w:tabs>
          <w:tab w:val="clear" w:pos="840"/>
          <w:tab w:val="left" w:pos="426"/>
        </w:tabs>
        <w:kinsoku/>
        <w:wordWrap/>
        <w:overflowPunct/>
        <w:topLinePunct w:val="0"/>
        <w:autoSpaceDE/>
        <w:autoSpaceDN/>
        <w:bidi w:val="0"/>
        <w:adjustRightInd/>
        <w:snapToGrid w:val="0"/>
        <w:spacing w:line="560" w:lineRule="exact"/>
        <w:ind w:left="840" w:hanging="420"/>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lang w:val="en-US" w:eastAsia="zh-CN"/>
        </w:rPr>
        <w:t>质保期内，对使用类问题提供5</w:t>
      </w:r>
      <w:r>
        <w:rPr>
          <w:rFonts w:ascii="方正仿宋_GBK" w:eastAsia="方正仿宋_GBK" w:cs="宋体" w:hint="eastAsia"/>
          <w:b w:val="0"/>
          <w:bCs w:val="0"/>
          <w:sz w:val="32"/>
          <w:szCs w:val="32"/>
        </w:rPr>
        <w:t>×</w:t>
      </w:r>
      <w:r>
        <w:rPr>
          <w:rFonts w:ascii="方正仿宋_GBK" w:eastAsia="方正仿宋_GBK" w:cs="宋体" w:hint="eastAsia"/>
          <w:b w:val="0"/>
          <w:bCs w:val="0"/>
          <w:sz w:val="32"/>
          <w:szCs w:val="32"/>
          <w:lang w:val="en-US" w:eastAsia="zh-CN"/>
        </w:rPr>
        <w:t>8小时远程技术支持；</w:t>
      </w:r>
    </w:p>
    <w:p>
      <w:pPr>
        <w:keepNext w:val="0"/>
        <w:keepLines w:val="0"/>
        <w:pageBreakBefore w:val="0"/>
        <w:widowControl w:val="0"/>
        <w:numPr>
          <w:ilvl w:val="1"/>
          <w:numId w:val="3"/>
        </w:numPr>
        <w:tabs>
          <w:tab w:val="clear" w:pos="840"/>
          <w:tab w:val="left" w:pos="426"/>
        </w:tabs>
        <w:kinsoku/>
        <w:wordWrap/>
        <w:overflowPunct/>
        <w:topLinePunct w:val="0"/>
        <w:autoSpaceDE/>
        <w:autoSpaceDN/>
        <w:bidi w:val="0"/>
        <w:adjustRightInd/>
        <w:snapToGrid w:val="0"/>
        <w:spacing w:line="560" w:lineRule="exact"/>
        <w:ind w:left="840" w:hanging="420"/>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rPr>
        <w:t>质保期内，对缺陷类问题要求无条件给予解决更新，并提供7×24小时</w:t>
      </w:r>
      <w:r>
        <w:rPr>
          <w:rFonts w:ascii="方正仿宋_GBK" w:eastAsia="方正仿宋_GBK" w:cs="宋体" w:hint="eastAsia"/>
          <w:b w:val="0"/>
          <w:bCs w:val="0"/>
          <w:sz w:val="32"/>
          <w:szCs w:val="32"/>
          <w:lang w:val="en-US" w:eastAsia="zh-CN"/>
        </w:rPr>
        <w:t>远程</w:t>
      </w:r>
      <w:r>
        <w:rPr>
          <w:rFonts w:ascii="方正仿宋_GBK" w:eastAsia="方正仿宋_GBK" w:cs="宋体" w:hint="eastAsia"/>
          <w:b w:val="0"/>
          <w:bCs w:val="0"/>
          <w:sz w:val="32"/>
          <w:szCs w:val="32"/>
        </w:rPr>
        <w:t>技术支持</w:t>
      </w:r>
      <w:r>
        <w:rPr>
          <w:rFonts w:ascii="方正仿宋_GBK" w:eastAsia="方正仿宋_GBK" w:cs="宋体" w:hint="eastAsia"/>
          <w:b w:val="0"/>
          <w:bCs w:val="0"/>
          <w:sz w:val="32"/>
          <w:szCs w:val="32"/>
          <w:lang w:eastAsia="zh-CN"/>
        </w:rPr>
        <w:t>。</w:t>
      </w:r>
    </w:p>
    <w:p>
      <w:pPr>
        <w:keepNext w:val="0"/>
        <w:keepLines w:val="0"/>
        <w:pageBreakBefore w:val="0"/>
        <w:widowControl w:val="0"/>
        <w:numPr>
          <w:ilvl w:val="1"/>
          <w:numId w:val="3"/>
        </w:numPr>
        <w:tabs>
          <w:tab w:val="clear" w:pos="840"/>
          <w:tab w:val="left" w:pos="426"/>
        </w:tabs>
        <w:kinsoku/>
        <w:wordWrap/>
        <w:overflowPunct/>
        <w:topLinePunct w:val="0"/>
        <w:autoSpaceDE/>
        <w:autoSpaceDN/>
        <w:bidi w:val="0"/>
        <w:adjustRightInd/>
        <w:snapToGrid w:val="0"/>
        <w:spacing w:line="560" w:lineRule="exact"/>
        <w:ind w:left="840" w:hanging="420"/>
        <w:textAlignment w:val="auto"/>
        <w:outlineLvl w:val="9"/>
        <w:rPr>
          <w:rFonts w:ascii="方正仿宋_GBK" w:eastAsia="方正仿宋_GBK" w:cs="宋体" w:hint="eastAsia"/>
          <w:b w:val="0"/>
          <w:bCs w:val="0"/>
          <w:sz w:val="32"/>
          <w:szCs w:val="32"/>
        </w:rPr>
      </w:pPr>
      <w:r>
        <w:rPr>
          <w:rFonts w:ascii="方正仿宋_GBK" w:eastAsia="方正仿宋_GBK" w:cs="宋体" w:hint="eastAsia"/>
          <w:b w:val="0"/>
          <w:bCs w:val="0"/>
          <w:sz w:val="32"/>
          <w:szCs w:val="32"/>
          <w:lang w:val="en-US" w:eastAsia="zh-CN"/>
        </w:rPr>
        <w:t>紧急故障2小时内响应，可提供紧急现场技术支持</w:t>
      </w:r>
      <w:r>
        <w:rPr>
          <w:rFonts w:ascii="方正仿宋_GBK" w:eastAsia="方正仿宋_GBK" w:cs="宋体" w:hint="eastAsia"/>
          <w:b w:val="0"/>
          <w:bCs w:val="0"/>
          <w:sz w:val="32"/>
          <w:szCs w:val="32"/>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203" w:usb1="288F0000" w:usb2="00000006" w:usb3="00000000" w:csb0="00040001" w:csb1="00000000"/>
  </w:font>
  <w:font w:name="方正黑体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4E1AD6A7"/>
    <w:multiLevelType w:val="multilevel"/>
    <w:tmpl w:val="4E1AD6A7"/>
    <w:lvl w:ilvl="0">
      <w:start w:val="1"/>
      <w:numFmt w:val="chineseCounting"/>
      <w:lvlRestart w:val="0"/>
      <w:suff w:val="nothing"/>
      <w:lvlText w:val="%1、"/>
      <w:lvlJc w:val="left"/>
      <w:pPr>
        <w:ind w:left="0" w:firstLine="420"/>
      </w:pPr>
      <w:rPr>
        <w:rFonts w:hint="eastAsia"/>
      </w:rPr>
    </w:lvl>
    <w:lvl w:ilvl="1">
      <w:start w:val="1"/>
      <w:numFmt w:val="decimal"/>
      <w:suff w:val="nothing"/>
      <w:lvlText w:val="%2．"/>
      <w:lvlJc w:val="left"/>
      <w:pPr>
        <w:ind w:left="0" w:firstLine="420"/>
      </w:pPr>
      <w:rPr>
        <w:rFonts w:hint="eastAsia"/>
      </w:rPr>
    </w:lvl>
    <w:lvl w:ilvl="2">
      <w:start w:val="1"/>
      <w:numFmt w:val="decimal"/>
      <w:suff w:val="nothing"/>
      <w:lvlText w:val="（%3）"/>
      <w:lvlJc w:val="left"/>
      <w:pPr>
        <w:ind w:left="0" w:firstLine="420"/>
      </w:pPr>
      <w:rPr>
        <w:rFonts w:hint="eastAsia"/>
      </w:rPr>
    </w:lvl>
    <w:lvl w:ilvl="3">
      <w:start w:val="1"/>
      <w:numFmt w:val="decimalEnclosedCircleChinese"/>
      <w:suff w:val="nothing"/>
      <w:lvlText w:val="%4"/>
      <w:lvlJc w:val="left"/>
      <w:pPr>
        <w:ind w:left="0" w:firstLine="420"/>
      </w:pPr>
      <w:rPr>
        <w:rFonts w:hint="eastAsia"/>
      </w:rPr>
    </w:lvl>
    <w:lvl w:ilvl="4">
      <w:start w:val="1"/>
      <w:numFmt w:val="decimal"/>
      <w:suff w:val="nothing"/>
      <w:lvlText w:val="%5）"/>
      <w:lvlJc w:val="left"/>
      <w:pPr>
        <w:ind w:left="0" w:firstLine="420"/>
      </w:pPr>
      <w:rPr>
        <w:rFonts w:hint="eastAsia"/>
      </w:rPr>
    </w:lvl>
    <w:lvl w:ilvl="5">
      <w:start w:val="1"/>
      <w:numFmt w:val="lowerLetter"/>
      <w:suff w:val="nothing"/>
      <w:lvlText w:val="%6．"/>
      <w:lvlJc w:val="left"/>
      <w:pPr>
        <w:ind w:left="0" w:firstLine="420"/>
      </w:pPr>
      <w:rPr>
        <w:rFonts w:hint="eastAsia"/>
      </w:rPr>
    </w:lvl>
    <w:lvl w:ilvl="6">
      <w:start w:val="1"/>
      <w:numFmt w:val="lowerLetter"/>
      <w:suff w:val="nothing"/>
      <w:lvlText w:val="%7）"/>
      <w:lvlJc w:val="left"/>
      <w:pPr>
        <w:ind w:left="0" w:firstLine="420"/>
      </w:pPr>
      <w:rPr>
        <w:rFonts w:hint="eastAsia"/>
      </w:rPr>
    </w:lvl>
    <w:lvl w:ilvl="7">
      <w:start w:val="1"/>
      <w:numFmt w:val="lowerRoman"/>
      <w:suff w:val="nothing"/>
      <w:lvlText w:val="%8．"/>
      <w:lvlJc w:val="left"/>
      <w:pPr>
        <w:ind w:left="0" w:firstLine="420"/>
      </w:pPr>
      <w:rPr>
        <w:rFonts w:hint="eastAsia"/>
      </w:rPr>
    </w:lvl>
    <w:lvl w:ilvl="8">
      <w:start w:val="1"/>
      <w:numFmt w:val="lowerRoman"/>
      <w:suff w:val="nothing"/>
      <w:lvlText w:val="%9）"/>
      <w:lvlJc w:val="left"/>
      <w:pPr>
        <w:ind w:left="0" w:firstLine="420"/>
      </w:pPr>
      <w:rPr>
        <w:rFonts w:hint="eastAsia"/>
      </w:rPr>
    </w:lvl>
  </w:abstractNum>
  <w:abstractNum w:abstractNumId="1">
    <w:nsid w:val="A2DCDEF6"/>
    <w:multiLevelType w:val="singleLevel"/>
    <w:tmpl w:val="A2DCDEF6"/>
    <w:lvl w:ilvl="0">
      <w:start w:val="1"/>
      <w:numFmt w:val="decimal"/>
      <w:lvlRestart w:val="0"/>
      <w:lvlText w:val="%1."/>
      <w:lvlJc w:val="left"/>
      <w:pPr>
        <w:ind w:left="425" w:hanging="425"/>
      </w:pPr>
      <w:rPr>
        <w:rFonts w:hint="default"/>
      </w:rPr>
    </w:lvl>
  </w:abstractNum>
  <w:abstractNum w:abstractNumId="2">
    <w:nsid w:val="6CEC2ED0"/>
    <w:multiLevelType w:val="multilevel"/>
    <w:tmpl w:val="6CEC2ED0"/>
    <w:lvl w:ilvl="0">
      <w:start w:val="1"/>
      <w:numFmt w:val="decimal"/>
      <w:lvlRestart w:val="0"/>
      <w:lvlText w:val="%1."/>
      <w:lvlJc w:val="left"/>
      <w:pPr>
        <w:ind w:left="425" w:hanging="425"/>
      </w:pPr>
      <w:rPr>
        <w:rFonts w:hint="default"/>
      </w:rPr>
    </w:lvl>
    <w:lvl w:ilvl="1">
      <w:start w:val="1"/>
      <w:numFmt w:val="decimal"/>
      <w:lvlText w:val="(%2)"/>
      <w:lvlJc w:val="left"/>
      <w:pPr>
        <w:ind w:left="840" w:hanging="420"/>
      </w:pPr>
      <w:rPr>
        <w:rFonts w:hint="default"/>
      </w:rPr>
    </w:lvl>
    <w:lvl w:ilvl="2">
      <w:start w:val="1"/>
      <w:numFmt w:val="decimalEnclosedCircleChinese"/>
      <w:lvlText w:val="%3"/>
      <w:lvlJc w:val="left"/>
      <w:pPr>
        <w:ind w:left="1260" w:hanging="420"/>
      </w:pPr>
      <w:rPr>
        <w:rFonts w:hint="default"/>
      </w:rPr>
    </w:lvl>
    <w:lvl w:ilvl="3">
      <w:start w:val="1"/>
      <w:numFmt w:val="decimal"/>
      <w:lvlText w:val="%4)"/>
      <w:lvlJc w:val="left"/>
      <w:pPr>
        <w:ind w:left="1680" w:hanging="420"/>
      </w:pPr>
      <w:rPr>
        <w:rFonts w:hint="default"/>
      </w:rPr>
    </w:lvl>
    <w:lvl w:ilvl="4">
      <w:start w:val="1"/>
      <w:numFmt w:val="lowerLetter"/>
      <w:lvlText w:val="%5."/>
      <w:lvlJc w:val="left"/>
      <w:pPr>
        <w:ind w:left="2100" w:hanging="420"/>
      </w:pPr>
      <w:rPr>
        <w:rFonts w:hint="default"/>
      </w:rPr>
    </w:lvl>
    <w:lvl w:ilvl="5">
      <w:start w:val="1"/>
      <w:numFmt w:val="lowerLetter"/>
      <w:lvlText w:val="%6)"/>
      <w:lvlJc w:val="left"/>
      <w:pPr>
        <w:ind w:left="2520" w:hanging="420"/>
      </w:pPr>
      <w:rPr>
        <w:rFonts w:hint="default"/>
      </w:rPr>
    </w:lvl>
    <w:lvl w:ilvl="6">
      <w:start w:val="1"/>
      <w:numFmt w:val="lowerRoman"/>
      <w:lvlText w:val="%7."/>
      <w:lvlJc w:val="left"/>
      <w:pPr>
        <w:ind w:left="2940" w:hanging="420"/>
      </w:pPr>
      <w:rPr>
        <w:rFonts w:hint="default"/>
      </w:rPr>
    </w:lvl>
    <w:lvl w:ilvl="7">
      <w:start w:val="1"/>
      <w:numFmt w:val="lowerRoman"/>
      <w:lvlText w:val="%8)"/>
      <w:lvlJc w:val="left"/>
      <w:pPr>
        <w:ind w:left="3360" w:hanging="420"/>
      </w:pPr>
      <w:rPr>
        <w:rFonts w:hint="default"/>
      </w:rPr>
    </w:lvl>
    <w:lvl w:ilvl="8">
      <w:start w:val="1"/>
      <w:numFmt w:val="lowerLetter"/>
      <w:lvlText w:val="%9."/>
      <w:lvlJc w:val="left"/>
      <w:pPr>
        <w:ind w:left="3780" w:hanging="420"/>
      </w:pPr>
      <w:rPr>
        <w:rFonts w:hint="default"/>
      </w:rPr>
    </w:lvl>
  </w:abstractNum>
  <w:num w:numId="1">
    <w:abstractNumId w:val="0"/>
  </w:num>
  <w:num w:numId="2">
    <w:abstractNumId w:val="1"/>
  </w:num>
  <w:num w:numId="3">
    <w:abstractNumId w:val="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91"/>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toc 2"/>
    <w:basedOn w:val="0"/>
    <w:autoRedefine/>
    <w:next w:val="0"/>
    <w:pPr>
      <w:ind w:left="420"/>
    </w:pPr>
  </w:style>
  <w:style w:type="paragraph" w:styleId="16">
    <w:name w:val="Normal (Web)"/>
    <w:pPr>
      <w:widowControl/>
      <w:spacing w:before="100" w:beforeAutospacing="1" w:after="100" w:afterAutospacing="1"/>
      <w:jc w:val="left"/>
    </w:pPr>
    <w:rPr>
      <w:rFonts w:ascii="宋体" w:eastAsia="宋体" w:cs="宋体"/>
      <w:kern w:val="0"/>
      <w:sz w:val="24"/>
      <w:szCs w:val="24"/>
      <w:lang w:val="en-US" w:eastAsia="zh-CN" w:bidi="ar-SA"/>
    </w:rPr>
  </w:style>
  <w:style w:type="paragraph" w:customStyle="1" w:styleId="17">
    <w:name w:val="样式 1 10 磅"/>
    <w:next w:val="15"/>
    <w:pPr>
      <w:widowControl w:val="0"/>
      <w:spacing w:line="240" w:lineRule="auto"/>
      <w:jc w:val="both"/>
    </w:pPr>
    <w:rPr>
      <w:rFonts w:ascii="Times New Roman" w:eastAsia="宋体" w:cs="Times New Roman" w:hAnsi="Times New Roman"/>
      <w:kern w:val="2"/>
      <w:sz w:val="21"/>
      <w:szCs w:val="20"/>
      <w:lang w:val="en-US" w:eastAsia="zh-CN" w:bidi="ar-SA"/>
    </w:rPr>
  </w:style>
  <w:style w:type="paragraph" w:customStyle="1" w:styleId="18">
    <w:name w:val="样式 10 磅"/>
    <w:pPr>
      <w:kinsoku w:val="0"/>
      <w:autoSpaceDE w:val="0"/>
      <w:autoSpaceDN w:val="0"/>
      <w:adjustRightInd w:val="0"/>
      <w:snapToGrid w:val="0"/>
      <w:textAlignment w:val="baseline"/>
    </w:pPr>
    <w:rPr>
      <w:rFonts w:ascii="Arial" w:eastAsia="宋体" w:cs="Arial" w:hAnsi="Arial"/>
      <w:snapToGrid w:val="0"/>
      <w:color w:val="000000"/>
      <w:kern w:val="0"/>
      <w:sz w:val="21"/>
      <w:szCs w:val="21"/>
      <w:lang w:val="en-US" w:eastAsia="zh-CN" w:bidi="ar-SA"/>
    </w:rPr>
  </w:style>
  <w:style w:type="paragraph" w:customStyle="1" w:styleId="19">
    <w:name w:val="样式 2 10 磅"/>
    <w:pPr>
      <w:widowControl w:val="0"/>
      <w:jc w:val="both"/>
    </w:pPr>
    <w:rPr>
      <w:rFonts w:ascii="Calibri" w:eastAsia="宋体" w:cs="Arial" w:hAnsi="Calibri"/>
      <w:kern w:val="2"/>
      <w:sz w:val="21"/>
      <w:szCs w:val="24"/>
      <w:lang w:val="en-US" w:eastAsia="zh-CN" w:bidi="ar-SA"/>
    </w:rPr>
  </w:style>
  <w:style w:type="paragraph" w:customStyle="1" w:styleId="20">
    <w:name w:val="样式 3 10 磅"/>
    <w:pPr>
      <w:widowControl w:val="0"/>
      <w:jc w:val="both"/>
    </w:pPr>
    <w:rPr>
      <w:rFonts w:ascii="Calibri" w:eastAsia="宋体" w:cs="Arial" w:hAnsi="Calibri"/>
      <w:kern w:val="2"/>
      <w:sz w:val="21"/>
      <w:szCs w:val="24"/>
      <w:lang w:val="en-US" w:eastAsia="zh-CN" w:bidi="ar-SA"/>
    </w:rPr>
  </w:style>
  <w:style w:type="paragraph" w:customStyle="1" w:styleId="21">
    <w:name w:val="样式 4 10 磅"/>
    <w:pPr>
      <w:kinsoku w:val="0"/>
      <w:autoSpaceDE w:val="0"/>
      <w:autoSpaceDN w:val="0"/>
      <w:adjustRightInd w:val="0"/>
      <w:snapToGrid w:val="0"/>
      <w:textAlignment w:val="baseline"/>
    </w:pPr>
    <w:rPr>
      <w:rFonts w:ascii="Arial" w:eastAsia="宋体" w:cs="Arial" w:hAnsi="Arial"/>
      <w:snapToGrid w:val="0"/>
      <w:color w:val="000000"/>
      <w:kern w:val="0"/>
      <w:sz w:val="21"/>
      <w:szCs w:val="21"/>
      <w:lang w:val="en-US" w:eastAsia="zh-CN" w:bidi="ar-SA"/>
    </w:rPr>
  </w:style>
  <w:style w:type="paragraph" w:customStyle="1" w:styleId="22">
    <w:name w:val="样式 5 10 磅"/>
    <w:pPr>
      <w:widowControl w:val="0"/>
      <w:jc w:val="both"/>
    </w:pPr>
    <w:rPr>
      <w:rFonts w:ascii="Calibri" w:eastAsia="宋体" w:cs="Arial" w:hAnsi="Calibri"/>
      <w:kern w:val="2"/>
      <w:sz w:val="21"/>
      <w:szCs w:val="24"/>
      <w:lang w:val="en-US" w:eastAsia="zh-CN" w:bidi="ar-SA"/>
    </w:rPr>
  </w:style>
  <w:style w:type="paragraph" w:customStyle="1" w:styleId="23">
    <w:name w:val="样式 6 10 磅"/>
    <w:pPr>
      <w:widowControl w:val="0"/>
      <w:jc w:val="both"/>
    </w:pPr>
    <w:rPr>
      <w:rFonts w:ascii="Calibri" w:eastAsia="宋体" w:cs="Arial" w:hAnsi="Calibri"/>
      <w:kern w:val="2"/>
      <w:sz w:val="21"/>
      <w:szCs w:val="24"/>
      <w:lang w:val="en-US" w:eastAsia="zh-CN" w:bidi="ar-SA"/>
    </w:rPr>
  </w:style>
  <w:style w:type="paragraph" w:customStyle="1" w:styleId="24">
    <w:name w:val="样式 7 10 磅"/>
    <w:pPr>
      <w:kinsoku w:val="0"/>
      <w:autoSpaceDE w:val="0"/>
      <w:autoSpaceDN w:val="0"/>
      <w:adjustRightInd w:val="0"/>
      <w:snapToGrid w:val="0"/>
      <w:textAlignment w:val="baseline"/>
    </w:pPr>
    <w:rPr>
      <w:rFonts w:ascii="Arial" w:eastAsia="宋体" w:cs="Arial" w:hAnsi="Arial"/>
      <w:snapToGrid w:val="0"/>
      <w:color w:val="000000"/>
      <w:kern w:val="0"/>
      <w:sz w:val="21"/>
      <w:szCs w:val="21"/>
      <w:lang w:val="en-US" w:eastAsia="zh-CN" w:bidi="ar-SA"/>
    </w:rPr>
  </w:style>
  <w:style w:type="paragraph" w:customStyle="1" w:styleId="25">
    <w:name w:val="样式 8 10 磅"/>
    <w:pPr>
      <w:kinsoku w:val="0"/>
      <w:autoSpaceDE w:val="0"/>
      <w:autoSpaceDN w:val="0"/>
      <w:adjustRightInd w:val="0"/>
      <w:snapToGrid w:val="0"/>
      <w:textAlignment w:val="baseline"/>
    </w:pPr>
    <w:rPr>
      <w:rFonts w:ascii="Arial" w:eastAsia="宋体" w:cs="Arial" w:hAnsi="Arial"/>
      <w:snapToGrid w:val="0"/>
      <w:color w:val="000000"/>
      <w:kern w:val="0"/>
      <w:sz w:val="21"/>
      <w:szCs w:val="21"/>
      <w:lang w:val="en-US" w:eastAsia="zh-CN" w:bidi="ar-SA"/>
    </w:rPr>
  </w:style>
  <w:style w:type="paragraph" w:customStyle="1" w:styleId="26">
    <w:name w:val="样式 9 10 磅"/>
    <w:pPr>
      <w:kinsoku w:val="0"/>
      <w:autoSpaceDE w:val="0"/>
      <w:autoSpaceDN w:val="0"/>
      <w:adjustRightInd w:val="0"/>
      <w:snapToGrid w:val="0"/>
      <w:textAlignment w:val="baseline"/>
    </w:pPr>
    <w:rPr>
      <w:rFonts w:ascii="Arial" w:eastAsia="宋体" w:cs="Arial" w:hAnsi="Arial"/>
      <w:snapToGrid w:val="0"/>
      <w:color w:val="000000"/>
      <w:kern w:val="0"/>
      <w:sz w:val="21"/>
      <w:szCs w:val="21"/>
      <w:lang w:val="en-US" w:eastAsia="zh-CN" w:bidi="ar-SA"/>
    </w:rPr>
  </w:style>
  <w:style w:type="paragraph" w:customStyle="1" w:styleId="27">
    <w:name w:val="样式 10 10 磅"/>
    <w:pPr>
      <w:kinsoku w:val="0"/>
      <w:autoSpaceDE w:val="0"/>
      <w:autoSpaceDN w:val="0"/>
      <w:adjustRightInd w:val="0"/>
      <w:snapToGrid w:val="0"/>
      <w:textAlignment w:val="baseline"/>
    </w:pPr>
    <w:rPr>
      <w:rFonts w:ascii="Arial" w:eastAsia="宋体" w:cs="Arial" w:hAnsi="Arial"/>
      <w:snapToGrid w:val="0"/>
      <w:color w:val="000000"/>
      <w:kern w:val="0"/>
      <w:sz w:val="21"/>
      <w:szCs w:val="21"/>
      <w:lang w:val="en-US" w:eastAsia="zh-CN" w:bidi="ar-SA"/>
    </w:rPr>
  </w:style>
  <w:style w:type="paragraph" w:customStyle="1" w:styleId="28">
    <w:name w:val="样式 11 10 磅"/>
    <w:pPr>
      <w:kinsoku w:val="0"/>
      <w:autoSpaceDE w:val="0"/>
      <w:autoSpaceDN w:val="0"/>
      <w:adjustRightInd w:val="0"/>
      <w:snapToGrid w:val="0"/>
      <w:textAlignment w:val="baseline"/>
    </w:pPr>
    <w:rPr>
      <w:rFonts w:ascii="Arial" w:eastAsia="宋体" w:cs="Arial" w:hAnsi="Arial"/>
      <w:snapToGrid w:val="0"/>
      <w:color w:val="000000"/>
      <w:kern w:val="0"/>
      <w:sz w:val="21"/>
      <w:szCs w:val="21"/>
      <w:lang w:val="en-US" w:eastAsia="zh-CN" w:bidi="ar-SA"/>
    </w:rPr>
  </w:style>
  <w:style w:type="paragraph" w:customStyle="1" w:styleId="29">
    <w:name w:val="样式 12 10 磅"/>
    <w:pPr>
      <w:kinsoku w:val="0"/>
      <w:autoSpaceDE w:val="0"/>
      <w:autoSpaceDN w:val="0"/>
      <w:adjustRightInd w:val="0"/>
      <w:snapToGrid w:val="0"/>
      <w:textAlignment w:val="baseline"/>
    </w:pPr>
    <w:rPr>
      <w:rFonts w:ascii="Arial" w:eastAsia="宋体" w:cs="Arial" w:hAnsi="Arial"/>
      <w:snapToGrid w:val="0"/>
      <w:color w:val="000000"/>
      <w:kern w:val="0"/>
      <w:sz w:val="21"/>
      <w:szCs w:val="21"/>
      <w:lang w:val="en-US" w:eastAsia="zh-CN" w:bidi="ar-SA"/>
    </w:rPr>
  </w:style>
  <w:style w:type="paragraph" w:customStyle="1" w:styleId="30">
    <w:name w:val="样式 13 10 磅"/>
    <w:pPr>
      <w:kinsoku w:val="0"/>
      <w:autoSpaceDE w:val="0"/>
      <w:autoSpaceDN w:val="0"/>
      <w:adjustRightInd w:val="0"/>
      <w:snapToGrid w:val="0"/>
      <w:textAlignment w:val="baseline"/>
    </w:pPr>
    <w:rPr>
      <w:rFonts w:ascii="Arial" w:eastAsia="宋体" w:cs="Arial" w:hAnsi="Arial"/>
      <w:snapToGrid w:val="0"/>
      <w:color w:val="000000"/>
      <w:kern w:val="0"/>
      <w:sz w:val="21"/>
      <w:szCs w:val="21"/>
      <w:lang w:val="en-US" w:eastAsia="zh-CN" w:bidi="ar-SA"/>
    </w:rPr>
  </w:style>
  <w:style w:type="paragraph" w:customStyle="1" w:styleId="31">
    <w:name w:val="样式 14 10 磅"/>
    <w:pPr>
      <w:kinsoku w:val="0"/>
      <w:autoSpaceDE w:val="0"/>
      <w:autoSpaceDN w:val="0"/>
      <w:adjustRightInd w:val="0"/>
      <w:snapToGrid w:val="0"/>
      <w:textAlignment w:val="baseline"/>
    </w:pPr>
    <w:rPr>
      <w:rFonts w:ascii="Arial" w:eastAsia="宋体" w:cs="Arial" w:hAnsi="Arial"/>
      <w:snapToGrid w:val="0"/>
      <w:color w:val="000000"/>
      <w:kern w:val="0"/>
      <w:sz w:val="21"/>
      <w:szCs w:val="21"/>
      <w:lang w:val="en-US" w:eastAsia="zh-CN" w:bidi="ar-SA"/>
    </w:rPr>
  </w:style>
  <w:style w:type="paragraph" w:customStyle="1" w:styleId="32">
    <w:name w:val="样式 15 10 磅"/>
    <w:pPr>
      <w:kinsoku w:val="0"/>
      <w:autoSpaceDE w:val="0"/>
      <w:autoSpaceDN w:val="0"/>
      <w:adjustRightInd w:val="0"/>
      <w:snapToGrid w:val="0"/>
      <w:textAlignment w:val="baseline"/>
    </w:pPr>
    <w:rPr>
      <w:rFonts w:ascii="Arial" w:eastAsia="宋体" w:cs="Arial" w:hAnsi="Arial"/>
      <w:snapToGrid w:val="0"/>
      <w:color w:val="000000"/>
      <w:kern w:val="0"/>
      <w:sz w:val="21"/>
      <w:szCs w:val="21"/>
      <w:lang w:val="en-US" w:eastAsia="zh-CN" w:bidi="ar-SA"/>
    </w:rPr>
  </w:style>
  <w:style w:type="paragraph" w:customStyle="1" w:styleId="33">
    <w:name w:val="样式 16 10 磅"/>
    <w:pPr>
      <w:kinsoku w:val="0"/>
      <w:autoSpaceDE w:val="0"/>
      <w:autoSpaceDN w:val="0"/>
      <w:adjustRightInd w:val="0"/>
      <w:snapToGrid w:val="0"/>
      <w:textAlignment w:val="baseline"/>
    </w:pPr>
    <w:rPr>
      <w:rFonts w:ascii="Arial" w:eastAsia="宋体" w:cs="Arial" w:hAnsi="Arial"/>
      <w:snapToGrid w:val="0"/>
      <w:color w:val="000000"/>
      <w:kern w:val="0"/>
      <w:sz w:val="21"/>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230</TotalTime>
  <Application>Yozo_Office</Application>
  <Pages>5</Pages>
  <Words>2285</Words>
  <Characters>2454</Characters>
  <Lines>113</Lines>
  <Paragraphs>43</Paragraphs>
  <CharactersWithSpaces>2506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张宇</dc:creator>
  <cp:lastModifiedBy>张琳</cp:lastModifiedBy>
  <cp:revision>2</cp:revision>
  <cp:lastPrinted>2025-11-21T04:19:24Z</cp:lastPrinted>
  <dcterms:created xsi:type="dcterms:W3CDTF">2025-10-27T07:49:00Z</dcterms:created>
  <dcterms:modified xsi:type="dcterms:W3CDTF">2025-11-26T02:43:09Z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ICV">
    <vt:lpwstr>45E80EAB68564FF1B3E2C1FA9E2DF7B8_13</vt:lpwstr>
  </property>
  <property fmtid="{D5CDD505-2E9C-101B-9397-08002B2CF9AE}" pid="4" name="KSOTemplateDocerSaveRecord">
    <vt:lpwstr>eyJoZGlkIjoiNzgzNTBlNjJiODg1YjZiNGU0NjgwMzgwNWFmYTg0NjciLCJ1c2VySWQiOiI4NDc3MzYxNjgifQ==</vt:lpwstr>
  </property>
</Properties>
</file>