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tbl>
      <w:tblPr>
        <w:tblpPr w:leftFromText="180" w:rightFromText="180" w:vertAnchor="text" w:horzAnchor="page" w:tblpX="759" w:tblpY="811"/>
        <w:tblOverlap w:val="never"/>
        <w:tblW w:w="99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4"/>
        <w:gridCol w:w="731"/>
        <w:gridCol w:w="7440"/>
      </w:tblGrid>
      <w:tr>
        <w:trPr>
          <w:trHeight w:val="380"/>
        </w:trPr>
        <w:tc>
          <w:tcPr>
            <w:tcW w:w="1794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int="eastAsia"/>
                <w:kern w:val="0"/>
                <w:sz w:val="24"/>
              </w:rPr>
              <w:t>评分因素</w:t>
            </w:r>
          </w:p>
        </w:tc>
        <w:tc>
          <w:tcPr>
            <w:tcW w:w="73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int="eastAsia"/>
                <w:kern w:val="0"/>
                <w:sz w:val="24"/>
              </w:rPr>
              <w:t>权重</w:t>
            </w:r>
          </w:p>
        </w:tc>
        <w:tc>
          <w:tcPr>
            <w:tcW w:w="744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int="eastAsia"/>
                <w:kern w:val="0"/>
                <w:sz w:val="24"/>
              </w:rPr>
              <w:t>说明</w:t>
            </w:r>
          </w:p>
        </w:tc>
      </w:tr>
      <w:tr>
        <w:trPr>
          <w:trHeight w:val="760"/>
        </w:trPr>
        <w:tc>
          <w:tcPr>
            <w:tcW w:w="179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int="eastAsia"/>
                <w:kern w:val="0"/>
                <w:sz w:val="24"/>
              </w:rPr>
              <w:t>投标报价折扣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/>
                <w:kern w:val="0"/>
                <w:sz w:val="24"/>
              </w:rPr>
              <w:t>20</w:t>
            </w:r>
          </w:p>
        </w:tc>
        <w:tc>
          <w:tcPr>
            <w:tcW w:w="7440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/>
                <w:kern w:val="0"/>
                <w:szCs w:val="21"/>
              </w:rPr>
            </w:pPr>
            <w:r>
              <w:rPr>
                <w:rFonts w:ascii="宋体" w:hint="eastAsia"/>
                <w:kern w:val="0"/>
                <w:szCs w:val="21"/>
              </w:rPr>
              <w:t>投标人报价得分＝（评标最低折扣/投标折扣）×</w:t>
            </w:r>
            <w:r>
              <w:rPr>
                <w:rFonts w:ascii="宋体"/>
                <w:kern w:val="0"/>
                <w:szCs w:val="21"/>
              </w:rPr>
              <w:t>2</w:t>
            </w:r>
            <w:r>
              <w:rPr>
                <w:rFonts w:ascii="宋体" w:hint="eastAsia"/>
                <w:kern w:val="0"/>
                <w:szCs w:val="21"/>
              </w:rPr>
              <w:t>0％×100</w:t>
            </w:r>
          </w:p>
          <w:p>
            <w:pPr>
              <w:widowControl/>
              <w:spacing w:line="360" w:lineRule="exact"/>
              <w:jc w:val="left"/>
              <w:rPr>
                <w:rFonts w:ascii="宋体"/>
                <w:kern w:val="0"/>
                <w:szCs w:val="21"/>
              </w:rPr>
            </w:pPr>
            <w:r>
              <w:rPr>
                <w:rFonts w:ascii="宋体" w:hint="eastAsia"/>
                <w:kern w:val="0"/>
                <w:szCs w:val="21"/>
              </w:rPr>
              <w:t>注解：投标折扣为投标人所提供投标函中的投标折扣。</w:t>
            </w:r>
          </w:p>
        </w:tc>
      </w:tr>
      <w:tr>
        <w:trPr>
          <w:trHeight w:val="7578"/>
        </w:trPr>
        <w:tc>
          <w:tcPr>
            <w:tcW w:w="179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int="eastAsia"/>
                <w:kern w:val="0"/>
                <w:sz w:val="24"/>
              </w:rPr>
              <w:t>服务方案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int="eastAsia"/>
                <w:kern w:val="0"/>
                <w:sz w:val="24"/>
              </w:rPr>
              <w:t>30</w:t>
            </w:r>
          </w:p>
        </w:tc>
        <w:tc>
          <w:tcPr>
            <w:tcW w:w="7440" w:type="dxa"/>
            <w:vAlign w:val="center"/>
          </w:tcPr>
          <w:p>
            <w:pPr>
              <w:spacing w:line="276" w:lineRule="auto"/>
              <w:rPr>
                <w:rFonts w:ascii="宋体" w:cs="仿宋"/>
                <w:color w:val="000000"/>
                <w:szCs w:val="21"/>
              </w:rPr>
            </w:pPr>
            <w:r>
              <w:rPr>
                <w:rFonts w:ascii="宋体" w:cs="仿宋" w:hint="eastAsia"/>
                <w:color w:val="000000"/>
                <w:szCs w:val="21"/>
              </w:rPr>
              <w:t>一、配送及到店采购要求：</w:t>
            </w:r>
          </w:p>
          <w:p>
            <w:pPr>
              <w:spacing w:line="276" w:lineRule="auto"/>
              <w:rPr>
                <w:rFonts w:ascii="宋体" w:cs="仿宋"/>
                <w:color w:val="000000"/>
                <w:szCs w:val="21"/>
              </w:rPr>
            </w:pPr>
            <w:r>
              <w:rPr>
                <w:rFonts w:ascii="宋体" w:cs="仿宋" w:hint="eastAsia"/>
                <w:color w:val="000000"/>
                <w:szCs w:val="21"/>
              </w:rPr>
              <w:t>1、投标人配送及到店服务方案全面、具体，配送时间及时（线上下单后配送时间及时），方案具体完整，逻辑严谨，有针对性，完全满足或优于招标文件要求的(得1</w:t>
            </w:r>
            <w:r>
              <w:rPr>
                <w:rFonts w:ascii="宋体" w:cs="仿宋"/>
                <w:color w:val="000000"/>
                <w:szCs w:val="21"/>
              </w:rPr>
              <w:t>5</w:t>
            </w:r>
            <w:r>
              <w:rPr>
                <w:rFonts w:ascii="宋体" w:cs="仿宋" w:hint="eastAsia"/>
                <w:color w:val="000000"/>
                <w:szCs w:val="21"/>
              </w:rPr>
              <w:t>-</w:t>
            </w:r>
            <w:r>
              <w:rPr>
                <w:rFonts w:ascii="宋体" w:cs="仿宋"/>
                <w:color w:val="000000"/>
                <w:szCs w:val="21"/>
              </w:rPr>
              <w:t>11</w:t>
            </w:r>
            <w:r>
              <w:rPr>
                <w:rFonts w:ascii="宋体" w:cs="仿宋" w:hint="eastAsia"/>
                <w:color w:val="000000"/>
                <w:szCs w:val="21"/>
              </w:rPr>
              <w:t>分)；</w:t>
            </w:r>
          </w:p>
          <w:p>
            <w:pPr>
              <w:spacing w:line="276" w:lineRule="auto"/>
              <w:rPr>
                <w:rFonts w:ascii="宋体" w:cs="仿宋" w:hint="eastAsia"/>
                <w:color w:val="000000"/>
                <w:szCs w:val="21"/>
              </w:rPr>
            </w:pPr>
            <w:r>
              <w:rPr>
                <w:rFonts w:ascii="宋体" w:cs="仿宋" w:hint="eastAsia"/>
                <w:color w:val="000000"/>
                <w:szCs w:val="21"/>
              </w:rPr>
              <w:t>2、投标人配送及到店服务方案全面、具体，配送时间及时（线上下单后配送时间及时），方案较为完整，无逻辑矛盾，比较满足招标文件要求的(得</w:t>
            </w:r>
            <w:r>
              <w:rPr>
                <w:rFonts w:ascii="宋体" w:cs="仿宋"/>
                <w:color w:val="000000"/>
                <w:szCs w:val="21"/>
              </w:rPr>
              <w:t>10</w:t>
            </w:r>
            <w:r>
              <w:rPr>
                <w:rFonts w:ascii="宋体" w:cs="仿宋" w:hint="eastAsia"/>
                <w:color w:val="000000"/>
                <w:szCs w:val="21"/>
              </w:rPr>
              <w:t>-</w:t>
            </w:r>
            <w:r>
              <w:rPr>
                <w:rFonts w:ascii="宋体" w:cs="仿宋"/>
                <w:color w:val="000000"/>
                <w:szCs w:val="21"/>
              </w:rPr>
              <w:t>6</w:t>
            </w:r>
            <w:r>
              <w:rPr>
                <w:rFonts w:ascii="宋体" w:cs="仿宋" w:hint="eastAsia"/>
                <w:color w:val="000000"/>
                <w:szCs w:val="21"/>
              </w:rPr>
              <w:t>分)；</w:t>
            </w:r>
          </w:p>
          <w:p>
            <w:pPr>
              <w:spacing w:line="276" w:lineRule="auto"/>
              <w:rPr>
                <w:rFonts w:ascii="宋体" w:cs="仿宋"/>
                <w:color w:val="000000"/>
                <w:szCs w:val="21"/>
              </w:rPr>
            </w:pPr>
            <w:r>
              <w:rPr>
                <w:rFonts w:ascii="宋体" w:cs="仿宋" w:hint="eastAsia"/>
                <w:color w:val="000000"/>
                <w:szCs w:val="21"/>
              </w:rPr>
              <w:t>3、投标人配送及到店服务方案全面、具体，配送时间及时（线上下单后配送时间及时），有适当标书，项目针对性一般，基本满足招标文件要求的(得5-</w:t>
            </w:r>
            <w:r>
              <w:rPr>
                <w:rFonts w:ascii="宋体" w:cs="仿宋"/>
                <w:color w:val="000000"/>
                <w:szCs w:val="21"/>
              </w:rPr>
              <w:t>1</w:t>
            </w:r>
            <w:r>
              <w:rPr>
                <w:rFonts w:ascii="宋体" w:cs="仿宋" w:hint="eastAsia"/>
                <w:color w:val="000000"/>
                <w:szCs w:val="21"/>
              </w:rPr>
              <w:t>分)；</w:t>
            </w:r>
          </w:p>
          <w:p>
            <w:pPr>
              <w:spacing w:line="276" w:lineRule="auto"/>
              <w:rPr>
                <w:rFonts w:ascii="宋体" w:cs="仿宋"/>
                <w:color w:val="000000"/>
                <w:szCs w:val="21"/>
              </w:rPr>
            </w:pPr>
            <w:r>
              <w:rPr>
                <w:rFonts w:ascii="宋体" w:cs="仿宋" w:hint="eastAsia"/>
                <w:color w:val="000000"/>
                <w:szCs w:val="21"/>
              </w:rPr>
              <w:t>未提供不得分。</w:t>
            </w:r>
          </w:p>
          <w:p>
            <w:pPr>
              <w:spacing w:line="276" w:lineRule="auto"/>
              <w:rPr>
                <w:rFonts w:ascii="宋体" w:cs="仿宋"/>
                <w:color w:val="000000"/>
                <w:szCs w:val="21"/>
              </w:rPr>
            </w:pPr>
            <w:r>
              <w:rPr>
                <w:rFonts w:ascii="宋体" w:cs="仿宋" w:hint="eastAsia"/>
                <w:color w:val="000000"/>
                <w:szCs w:val="21"/>
              </w:rPr>
              <w:t>二、配送及到店采购产品质量要求</w:t>
            </w:r>
          </w:p>
          <w:p>
            <w:pPr>
              <w:spacing w:line="276" w:lineRule="auto"/>
              <w:rPr>
                <w:rFonts w:ascii="宋体" w:cs="仿宋"/>
                <w:color w:val="000000"/>
                <w:szCs w:val="21"/>
              </w:rPr>
            </w:pPr>
            <w:r>
              <w:rPr>
                <w:rFonts w:ascii="宋体" w:cs="仿宋" w:hint="eastAsia"/>
                <w:color w:val="000000"/>
                <w:szCs w:val="21"/>
              </w:rPr>
              <w:t>1、投标人配送商品质量，有1</w:t>
            </w:r>
            <w:r>
              <w:rPr>
                <w:rFonts w:ascii="宋体" w:cs="仿宋"/>
                <w:color w:val="000000"/>
                <w:szCs w:val="21"/>
              </w:rPr>
              <w:t>3</w:t>
            </w:r>
            <w:r>
              <w:rPr>
                <w:rFonts w:ascii="宋体" w:cs="仿宋" w:hint="eastAsia"/>
                <w:color w:val="000000"/>
                <w:szCs w:val="21"/>
              </w:rPr>
              <w:t>位国际码、商品可出具商品质检报告、进口商品有报关材料、有安全的商品陈列及储藏管理措施，表述完整，且逻辑严谨，有针对性，完全满足或优于招标文件要求的(得1</w:t>
            </w:r>
            <w:r>
              <w:rPr>
                <w:rFonts w:ascii="宋体" w:cs="仿宋"/>
                <w:color w:val="000000"/>
                <w:szCs w:val="21"/>
              </w:rPr>
              <w:t>5</w:t>
            </w:r>
            <w:r>
              <w:rPr>
                <w:rFonts w:ascii="宋体" w:cs="仿宋" w:hint="eastAsia"/>
                <w:color w:val="000000"/>
                <w:szCs w:val="21"/>
              </w:rPr>
              <w:t>-</w:t>
            </w:r>
            <w:r>
              <w:rPr>
                <w:rFonts w:ascii="宋体" w:cs="仿宋"/>
                <w:color w:val="000000"/>
                <w:szCs w:val="21"/>
              </w:rPr>
              <w:t>11</w:t>
            </w:r>
            <w:r>
              <w:rPr>
                <w:rFonts w:ascii="宋体" w:cs="仿宋" w:hint="eastAsia"/>
                <w:color w:val="000000"/>
                <w:szCs w:val="21"/>
              </w:rPr>
              <w:t>分)；</w:t>
            </w:r>
          </w:p>
          <w:p>
            <w:pPr>
              <w:spacing w:line="276" w:lineRule="auto"/>
              <w:rPr>
                <w:rFonts w:ascii="宋体" w:cs="仿宋"/>
                <w:color w:val="000000"/>
                <w:szCs w:val="21"/>
              </w:rPr>
            </w:pPr>
            <w:r>
              <w:rPr>
                <w:rFonts w:ascii="宋体" w:cs="仿宋"/>
                <w:color w:val="000000"/>
                <w:szCs w:val="21"/>
              </w:rPr>
              <w:t>2</w:t>
            </w:r>
            <w:r>
              <w:rPr>
                <w:rFonts w:ascii="宋体" w:cs="仿宋" w:hint="eastAsia"/>
                <w:color w:val="000000"/>
                <w:szCs w:val="21"/>
              </w:rPr>
              <w:t>、投标人配送商品质量，有1</w:t>
            </w:r>
            <w:r>
              <w:rPr>
                <w:rFonts w:ascii="宋体" w:cs="仿宋"/>
                <w:color w:val="000000"/>
                <w:szCs w:val="21"/>
              </w:rPr>
              <w:t>3</w:t>
            </w:r>
            <w:r>
              <w:rPr>
                <w:rFonts w:ascii="宋体" w:cs="仿宋" w:hint="eastAsia"/>
                <w:color w:val="000000"/>
                <w:szCs w:val="21"/>
              </w:rPr>
              <w:t>位国际码、商品可出具商品质检报告、进口商品有报关材料、有安全的商品陈列及储藏管理措施，表述较为完整，有一定有针对性，无逻辑矛盾、比较满足招标文件要求的(得</w:t>
            </w:r>
            <w:r>
              <w:rPr>
                <w:rFonts w:ascii="宋体" w:cs="仿宋"/>
                <w:color w:val="000000"/>
                <w:szCs w:val="21"/>
              </w:rPr>
              <w:t>10</w:t>
            </w:r>
            <w:r>
              <w:rPr>
                <w:rFonts w:ascii="宋体" w:cs="仿宋" w:hint="eastAsia"/>
                <w:color w:val="000000"/>
                <w:szCs w:val="21"/>
              </w:rPr>
              <w:t>-</w:t>
            </w:r>
            <w:r>
              <w:rPr>
                <w:rFonts w:ascii="宋体" w:cs="仿宋"/>
                <w:color w:val="000000"/>
                <w:szCs w:val="21"/>
              </w:rPr>
              <w:t>6</w:t>
            </w:r>
            <w:r>
              <w:rPr>
                <w:rFonts w:ascii="宋体" w:cs="仿宋" w:hint="eastAsia"/>
                <w:color w:val="000000"/>
                <w:szCs w:val="21"/>
              </w:rPr>
              <w:t>分)；</w:t>
            </w:r>
          </w:p>
          <w:p>
            <w:pPr>
              <w:spacing w:line="276" w:lineRule="auto"/>
              <w:rPr>
                <w:rFonts w:ascii="宋体" w:cs="仿宋"/>
                <w:color w:val="000000"/>
                <w:szCs w:val="21"/>
              </w:rPr>
            </w:pPr>
            <w:r>
              <w:rPr>
                <w:rFonts w:ascii="宋体" w:cs="仿宋"/>
                <w:color w:val="000000"/>
                <w:szCs w:val="21"/>
              </w:rPr>
              <w:t>3</w:t>
            </w:r>
            <w:r>
              <w:rPr>
                <w:rFonts w:ascii="宋体" w:cs="仿宋" w:hint="eastAsia"/>
                <w:color w:val="000000"/>
                <w:szCs w:val="21"/>
              </w:rPr>
              <w:t>、投标人配送商品质量，有1</w:t>
            </w:r>
            <w:r>
              <w:rPr>
                <w:rFonts w:ascii="宋体" w:cs="仿宋"/>
                <w:color w:val="000000"/>
                <w:szCs w:val="21"/>
              </w:rPr>
              <w:t>3</w:t>
            </w:r>
            <w:r>
              <w:rPr>
                <w:rFonts w:ascii="宋体" w:cs="仿宋" w:hint="eastAsia"/>
                <w:color w:val="000000"/>
                <w:szCs w:val="21"/>
              </w:rPr>
              <w:t>位国际码、商品可出具商品质检报告、进口商品有报关材料、有安全的商品陈列及储藏管理措施，有适当表述，无项目针对性、比较满足招标文件要求的(得5-</w:t>
            </w:r>
            <w:r>
              <w:rPr>
                <w:rFonts w:ascii="宋体" w:cs="仿宋"/>
                <w:color w:val="000000"/>
                <w:szCs w:val="21"/>
              </w:rPr>
              <w:t>1</w:t>
            </w:r>
            <w:r>
              <w:rPr>
                <w:rFonts w:ascii="宋体" w:cs="仿宋" w:hint="eastAsia"/>
                <w:color w:val="000000"/>
                <w:szCs w:val="21"/>
              </w:rPr>
              <w:t>分)；</w:t>
            </w:r>
          </w:p>
          <w:p>
            <w:pPr>
              <w:spacing w:line="276" w:lineRule="auto"/>
              <w:rPr>
                <w:rFonts w:ascii="宋体" w:cs="仿宋" w:hint="eastAsia"/>
                <w:color w:val="000000"/>
                <w:szCs w:val="21"/>
              </w:rPr>
            </w:pPr>
            <w:r>
              <w:rPr>
                <w:rFonts w:ascii="宋体" w:cs="仿宋" w:hint="eastAsia"/>
                <w:color w:val="000000"/>
                <w:szCs w:val="21"/>
              </w:rPr>
              <w:t>未提供不得分</w:t>
            </w:r>
          </w:p>
        </w:tc>
      </w:tr>
      <w:tr>
        <w:trPr>
          <w:trHeight w:val="760"/>
        </w:trPr>
        <w:tc>
          <w:tcPr>
            <w:tcW w:w="179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int="eastAsia"/>
                <w:kern w:val="0"/>
                <w:sz w:val="24"/>
              </w:rPr>
              <w:t>本项目提供商品数量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/>
                <w:kern w:val="0"/>
                <w:sz w:val="24"/>
              </w:rPr>
              <w:t>20</w:t>
            </w:r>
          </w:p>
        </w:tc>
        <w:tc>
          <w:tcPr>
            <w:tcW w:w="7440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/>
                <w:kern w:val="0"/>
                <w:szCs w:val="21"/>
              </w:rPr>
            </w:pPr>
            <w:r>
              <w:rPr>
                <w:rFonts w:ascii="宋体"/>
                <w:kern w:val="0"/>
                <w:szCs w:val="21"/>
              </w:rPr>
              <w:t>300</w:t>
            </w:r>
            <w:r>
              <w:rPr>
                <w:rFonts w:ascii="宋体" w:hint="eastAsia"/>
                <w:kern w:val="0"/>
                <w:szCs w:val="21"/>
              </w:rPr>
              <w:t>个得1</w:t>
            </w:r>
            <w:r>
              <w:rPr>
                <w:rFonts w:ascii="宋体"/>
                <w:kern w:val="0"/>
                <w:szCs w:val="21"/>
              </w:rPr>
              <w:t>0</w:t>
            </w:r>
            <w:r>
              <w:rPr>
                <w:rFonts w:ascii="宋体" w:hint="eastAsia"/>
                <w:kern w:val="0"/>
                <w:szCs w:val="21"/>
              </w:rPr>
              <w:t>分，每增加1</w:t>
            </w:r>
            <w:r>
              <w:rPr>
                <w:rFonts w:ascii="宋体"/>
                <w:kern w:val="0"/>
                <w:szCs w:val="21"/>
              </w:rPr>
              <w:t>00</w:t>
            </w:r>
            <w:r>
              <w:rPr>
                <w:rFonts w:ascii="宋体" w:hint="eastAsia"/>
                <w:kern w:val="0"/>
                <w:szCs w:val="21"/>
              </w:rPr>
              <w:t>个5分最高2</w:t>
            </w:r>
            <w:r>
              <w:rPr>
                <w:rFonts w:ascii="宋体"/>
                <w:kern w:val="0"/>
                <w:szCs w:val="21"/>
              </w:rPr>
              <w:t>0</w:t>
            </w:r>
            <w:r>
              <w:rPr>
                <w:rFonts w:ascii="宋体" w:hint="eastAsia"/>
                <w:kern w:val="0"/>
                <w:szCs w:val="21"/>
              </w:rPr>
              <w:t>分</w:t>
            </w:r>
            <w:bookmarkStart w:id="0" w:name="_GoBack"/>
            <w:bookmarkEnd w:id="0"/>
          </w:p>
        </w:tc>
      </w:tr>
      <w:tr>
        <w:trPr>
          <w:trHeight w:val="760"/>
        </w:trPr>
        <w:tc>
          <w:tcPr>
            <w:tcW w:w="179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int="eastAsia"/>
                <w:kern w:val="0"/>
                <w:sz w:val="24"/>
              </w:rPr>
              <w:t>业绩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/>
                <w:kern w:val="0"/>
                <w:sz w:val="24"/>
              </w:rPr>
              <w:t>15</w:t>
            </w:r>
          </w:p>
        </w:tc>
        <w:tc>
          <w:tcPr>
            <w:tcW w:w="7440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/>
                <w:kern w:val="0"/>
                <w:szCs w:val="21"/>
              </w:rPr>
            </w:pPr>
            <w:r>
              <w:rPr>
                <w:rFonts w:ascii="宋体" w:hint="eastAsia"/>
                <w:kern w:val="0"/>
                <w:szCs w:val="21"/>
              </w:rPr>
              <w:t>20</w:t>
            </w:r>
            <w:r>
              <w:rPr>
                <w:rFonts w:ascii="宋体"/>
                <w:kern w:val="0"/>
                <w:szCs w:val="21"/>
              </w:rPr>
              <w:t>24</w:t>
            </w:r>
            <w:r>
              <w:rPr>
                <w:rFonts w:ascii="宋体" w:hint="eastAsia"/>
                <w:kern w:val="0"/>
                <w:szCs w:val="21"/>
              </w:rPr>
              <w:t>年11月1日至今，具有相关福利业绩（每有一个合同或中标通知书得</w:t>
            </w:r>
            <w:r>
              <w:rPr>
                <w:rFonts w:ascii="宋体"/>
                <w:kern w:val="0"/>
                <w:szCs w:val="21"/>
              </w:rPr>
              <w:t>3</w:t>
            </w:r>
            <w:r>
              <w:rPr>
                <w:rFonts w:ascii="宋体" w:hint="eastAsia"/>
                <w:kern w:val="0"/>
                <w:szCs w:val="21"/>
              </w:rPr>
              <w:t>分，最高1</w:t>
            </w:r>
            <w:r>
              <w:rPr>
                <w:rFonts w:ascii="宋体"/>
                <w:kern w:val="0"/>
                <w:szCs w:val="21"/>
              </w:rPr>
              <w:t>5</w:t>
            </w:r>
            <w:r>
              <w:rPr>
                <w:rFonts w:ascii="宋体" w:hint="eastAsia"/>
                <w:kern w:val="0"/>
                <w:szCs w:val="21"/>
              </w:rPr>
              <w:t>分）</w:t>
            </w:r>
          </w:p>
        </w:tc>
      </w:tr>
      <w:tr>
        <w:trPr>
          <w:trHeight w:val="760"/>
        </w:trPr>
        <w:tc>
          <w:tcPr>
            <w:tcW w:w="179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int="eastAsia"/>
                <w:kern w:val="0"/>
                <w:sz w:val="24"/>
              </w:rPr>
              <w:t>增值服务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/>
                <w:kern w:val="0"/>
                <w:sz w:val="24"/>
              </w:rPr>
              <w:t>10</w:t>
            </w:r>
          </w:p>
        </w:tc>
        <w:tc>
          <w:tcPr>
            <w:tcW w:w="7440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/>
                <w:kern w:val="0"/>
                <w:szCs w:val="21"/>
              </w:rPr>
            </w:pPr>
            <w:r>
              <w:rPr>
                <w:rFonts w:ascii="宋体" w:hint="eastAsia"/>
                <w:kern w:val="0"/>
                <w:szCs w:val="21"/>
              </w:rPr>
              <w:t>购物可免费停车大于2小时得5分；其他类型增值服务，如享受相关优惠等，根据实际情况得分1</w:t>
            </w:r>
            <w:r>
              <w:rPr>
                <w:rFonts w:ascii="宋体"/>
                <w:kern w:val="0"/>
                <w:szCs w:val="21"/>
              </w:rPr>
              <w:t>-5</w:t>
            </w:r>
            <w:r>
              <w:rPr>
                <w:rFonts w:ascii="宋体" w:hint="eastAsia"/>
                <w:kern w:val="0"/>
                <w:szCs w:val="21"/>
              </w:rPr>
              <w:t>分</w:t>
            </w:r>
          </w:p>
        </w:tc>
      </w:tr>
      <w:tr>
        <w:trPr>
          <w:trHeight w:val="1520"/>
        </w:trPr>
        <w:tc>
          <w:tcPr>
            <w:tcW w:w="179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int="eastAsia"/>
                <w:kern w:val="0"/>
                <w:sz w:val="24"/>
              </w:rPr>
              <w:t>投标人实力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/>
                <w:kern w:val="0"/>
                <w:sz w:val="24"/>
              </w:rPr>
              <w:t>5</w:t>
            </w:r>
          </w:p>
        </w:tc>
        <w:tc>
          <w:tcPr>
            <w:tcW w:w="7440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/>
                <w:kern w:val="0"/>
                <w:szCs w:val="21"/>
              </w:rPr>
            </w:pPr>
            <w:r>
              <w:rPr>
                <w:rFonts w:ascii="宋体" w:hint="eastAsia"/>
                <w:kern w:val="0"/>
                <w:szCs w:val="21"/>
              </w:rPr>
              <w:t>投标人具有的H</w:t>
            </w:r>
            <w:r>
              <w:rPr>
                <w:rFonts w:ascii="宋体"/>
                <w:kern w:val="0"/>
                <w:szCs w:val="21"/>
              </w:rPr>
              <w:t>APPC</w:t>
            </w:r>
            <w:r>
              <w:rPr>
                <w:rFonts w:ascii="宋体" w:hint="eastAsia"/>
                <w:kern w:val="0"/>
                <w:szCs w:val="21"/>
              </w:rPr>
              <w:t>体系认证书、</w:t>
            </w:r>
            <w:r>
              <w:rPr>
                <w:rFonts w:ascii="宋体"/>
                <w:kern w:val="0"/>
                <w:szCs w:val="21"/>
              </w:rPr>
              <w:t>ISO22000</w:t>
            </w:r>
            <w:r>
              <w:rPr>
                <w:rFonts w:ascii="宋体" w:hint="eastAsia"/>
                <w:kern w:val="0"/>
                <w:szCs w:val="21"/>
              </w:rPr>
              <w:t>食品安全管理体系认证书得分、具有I</w:t>
            </w:r>
            <w:r>
              <w:rPr>
                <w:rFonts w:ascii="宋体"/>
                <w:kern w:val="0"/>
                <w:szCs w:val="21"/>
              </w:rPr>
              <w:t>SO 9001</w:t>
            </w:r>
            <w:r>
              <w:rPr>
                <w:rFonts w:ascii="宋体" w:hint="eastAsia"/>
                <w:kern w:val="0"/>
                <w:szCs w:val="21"/>
              </w:rPr>
              <w:t>质量管理体系认证书、I</w:t>
            </w:r>
            <w:r>
              <w:rPr>
                <w:rFonts w:ascii="宋体"/>
                <w:kern w:val="0"/>
                <w:szCs w:val="21"/>
              </w:rPr>
              <w:t>SO 14001</w:t>
            </w:r>
            <w:r>
              <w:rPr>
                <w:rFonts w:ascii="宋体" w:hint="eastAsia"/>
                <w:kern w:val="0"/>
                <w:szCs w:val="21"/>
              </w:rPr>
              <w:t>环境管理体系认证书、I</w:t>
            </w:r>
            <w:r>
              <w:rPr>
                <w:rFonts w:ascii="宋体"/>
                <w:kern w:val="0"/>
                <w:szCs w:val="21"/>
              </w:rPr>
              <w:t>SO 45001</w:t>
            </w:r>
            <w:r>
              <w:rPr>
                <w:rFonts w:ascii="宋体" w:hint="eastAsia"/>
                <w:kern w:val="0"/>
                <w:szCs w:val="21"/>
              </w:rPr>
              <w:t>职业健康安全管理体系认证书、以上每提供一个证书得一分，满分5分（以提供证书复印件加盖公章为准，复印件清晰，否则不得分）</w:t>
            </w:r>
          </w:p>
        </w:tc>
      </w:tr>
    </w:tbl>
    <w:p>
      <w:pPr>
        <w:rPr>
          <w:sz w:val="36"/>
          <w:szCs w:val="36"/>
        </w:rPr>
      </w:pPr>
      <w:r>
        <w:rPr>
          <w:sz w:val="36"/>
          <w:szCs w:val="36"/>
        </w:rPr>
        <w:t>附件1              评分标准</w:t>
      </w: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altName w:val="华文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altName w:val="方正仿宋_GBK"/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方正黑体_GBK"/>
    <w:panose1 w:val="02000000000000000000"/>
    <w:charset w:val="86"/>
    <w:family w:val="script"/>
    <w:pitch w:val="variable"/>
    <w:sig w:usb0="A00002BF" w:usb1="38CF7CFA" w:usb2="00082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91"/>
  <w:doNotDisplayPageBoundarie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98</TotalTime>
  <Application>Yozo_Office</Application>
  <Pages>1</Pages>
  <Words>847</Words>
  <Characters>919</Characters>
  <Lines>48</Lines>
  <Paragraphs>32</Paragraphs>
  <CharactersWithSpaces>936</CharactersWithSpaces>
  <Company>MCG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Qu, Dazhi</dc:creator>
  <cp:lastModifiedBy>张琳</cp:lastModifiedBy>
  <cp:revision>5</cp:revision>
  <dcterms:created xsi:type="dcterms:W3CDTF">2025-10-28T00:50:00Z</dcterms:created>
  <dcterms:modified xsi:type="dcterms:W3CDTF">2025-10-31T08:05:34Z</dcterms:modified>
</cp:coreProperties>
</file>