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wp14="http://schemas.microsoft.com/office/word/2010/wordprocessingDrawing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body>
    <w:p>
      <w:pPr>
        <w:pStyle w:val="34"/>
        <w:spacing w:line="600" w:lineRule="exact"/>
        <w:rPr>
          <w:rFonts w:ascii="方正黑体_GBK" w:eastAsia="方正黑体_GBK"/>
          <w:szCs w:val="32"/>
        </w:rPr>
      </w:pPr>
      <w:r>
        <w:rPr>
          <w:rFonts w:ascii="方正黑体_GBK" w:eastAsia="方正黑体_GBK" w:hint="eastAsia"/>
          <w:szCs w:val="32"/>
        </w:rPr>
        <w:t>附件</w:t>
      </w:r>
      <w:r>
        <w:rPr>
          <w:rFonts w:ascii="方正黑体_GBK" w:eastAsia="方正黑体_GBK"/>
          <w:szCs w:val="32"/>
        </w:rPr>
        <w:t>2</w:t>
      </w:r>
    </w:p>
    <w:p>
      <w:pPr>
        <w:pStyle w:val="34"/>
        <w:spacing w:line="600" w:lineRule="exact"/>
        <w:rPr>
          <w:rFonts w:ascii="方正黑体_GBK" w:eastAsia="方正黑体_GBK" w:hint="eastAsia"/>
          <w:szCs w:val="32"/>
        </w:rPr>
      </w:pPr>
    </w:p>
    <w:p>
      <w:pPr>
        <w:pStyle w:val="22"/>
        <w:spacing w:line="560" w:lineRule="exact"/>
        <w:jc w:val="center"/>
        <w:rPr>
          <w:rFonts w:ascii="Times New Roman" w:eastAsia="方正小标宋_GBK" w:hAnsi="Times New Roman"/>
          <w:sz w:val="44"/>
          <w:szCs w:val="44"/>
        </w:rPr>
      </w:pPr>
      <w:r>
        <w:rPr>
          <w:rFonts w:ascii="Times New Roman" w:eastAsia="方正小标宋_GBK" w:hAnsi="Times New Roman" w:hint="eastAsia"/>
          <w:sz w:val="44"/>
          <w:szCs w:val="44"/>
        </w:rPr>
        <w:t>海关总署关于</w:t>
      </w:r>
      <w:bookmarkStart w:id="0" w:name="_GoBack"/>
      <w:bookmarkEnd w:id="0"/>
      <w:r>
        <w:rPr>
          <w:rFonts w:ascii="Times New Roman" w:eastAsia="方正小标宋_GBK" w:hAnsi="Times New Roman" w:hint="eastAsia"/>
          <w:sz w:val="44"/>
          <w:szCs w:val="44"/>
        </w:rPr>
        <w:t>修改部分规章的决定</w:t>
      </w:r>
    </w:p>
    <w:p>
      <w:pPr>
        <w:pStyle w:val="22"/>
        <w:spacing w:line="560" w:lineRule="exact"/>
        <w:jc w:val="center"/>
        <w:rPr>
          <w:rFonts w:ascii="Times New Roman" w:eastAsia="方正楷体_GBK" w:hAnsi="Times New Roman"/>
          <w:b/>
          <w:bCs/>
          <w:sz w:val="32"/>
          <w:szCs w:val="32"/>
        </w:rPr>
      </w:pPr>
      <w:r>
        <w:rPr>
          <w:rFonts w:ascii="Times New Roman" w:eastAsia="方正楷体_GBK" w:hAnsi="Times New Roman" w:hint="eastAsia"/>
          <w:b/>
          <w:bCs/>
          <w:sz w:val="32"/>
          <w:szCs w:val="32"/>
        </w:rPr>
        <w:t>（</w:t>
      </w:r>
      <w:r>
        <w:rPr>
          <w:rFonts w:ascii="Times New Roman" w:eastAsia="方正楷体_GBK" w:hAnsi="Times New Roman"/>
          <w:b/>
          <w:bCs/>
          <w:sz w:val="32"/>
          <w:szCs w:val="32"/>
        </w:rPr>
        <w:t>征求意见稿</w:t>
      </w:r>
      <w:r>
        <w:rPr>
          <w:rFonts w:ascii="Times New Roman" w:eastAsia="方正楷体_GBK" w:hAnsi="Times New Roman" w:hint="eastAsia"/>
          <w:b/>
          <w:bCs/>
          <w:sz w:val="32"/>
          <w:szCs w:val="32"/>
        </w:rPr>
        <w:t>）</w:t>
      </w:r>
    </w:p>
    <w:p>
      <w:pPr>
        <w:pStyle w:val="22"/>
        <w:spacing w:line="56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</w:p>
    <w:p>
      <w:pPr>
        <w:pStyle w:val="22"/>
        <w:spacing w:line="56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 w:hint="eastAsia"/>
          <w:sz w:val="32"/>
          <w:szCs w:val="32"/>
        </w:rPr>
        <w:t>为</w:t>
      </w:r>
      <w:r>
        <w:rPr>
          <w:rFonts w:ascii="Times New Roman" w:eastAsia="方正仿宋_GBK" w:hAnsi="Times New Roman"/>
          <w:sz w:val="32"/>
          <w:szCs w:val="32"/>
        </w:rPr>
        <w:t>贯彻实施《中华人民共和国生态环境法典》</w:t>
      </w:r>
      <w:r>
        <w:rPr>
          <w:rFonts w:ascii="Times New Roman" w:eastAsia="方正仿宋_GBK" w:hAnsi="Times New Roman" w:hint="eastAsia"/>
          <w:sz w:val="32"/>
          <w:szCs w:val="32"/>
        </w:rPr>
        <w:t>，海关总署</w:t>
      </w:r>
      <w:r>
        <w:rPr>
          <w:rFonts w:ascii="Times New Roman" w:eastAsia="方正仿宋_GBK" w:cs="方正仿宋_GBK" w:hAnsi="Times New Roman" w:hint="eastAsia"/>
          <w:sz w:val="32"/>
          <w:szCs w:val="32"/>
        </w:rPr>
        <w:t>决定对《</w:t>
      </w:r>
      <w:r>
        <w:rPr>
          <w:rFonts w:ascii="Times New Roman" w:eastAsia="方正仿宋_GBK" w:cs="方正仿宋_GBK" w:hAnsi="Times New Roman"/>
          <w:sz w:val="32"/>
          <w:szCs w:val="32"/>
        </w:rPr>
        <w:t>保税区检验检疫监督管理办法</w:t>
      </w:r>
      <w:r>
        <w:rPr>
          <w:rFonts w:ascii="Times New Roman" w:eastAsia="方正仿宋_GBK" w:cs="方正仿宋_GBK" w:hAnsi="Times New Roman" w:hint="eastAsia"/>
          <w:sz w:val="32"/>
          <w:szCs w:val="32"/>
        </w:rPr>
        <w:t>》等</w:t>
      </w:r>
      <w:r>
        <w:rPr>
          <w:rFonts w:ascii="Times New Roman" w:eastAsia="方正仿宋_GBK" w:cs="Times New Roman" w:hAnsi="Times New Roman"/>
          <w:sz w:val="32"/>
          <w:szCs w:val="32"/>
        </w:rPr>
        <w:t>3</w:t>
      </w:r>
      <w:r>
        <w:rPr>
          <w:rFonts w:ascii="Times New Roman" w:eastAsia="方正仿宋_GBK" w:cs="方正仿宋_GBK" w:hAnsi="Times New Roman" w:hint="eastAsia"/>
          <w:sz w:val="32"/>
          <w:szCs w:val="32"/>
        </w:rPr>
        <w:t>部规章进行修改，具体内容如下：</w:t>
      </w:r>
    </w:p>
    <w:p>
      <w:pPr>
        <w:pStyle w:val="22"/>
        <w:spacing w:line="560" w:lineRule="exact"/>
        <w:ind w:firstLineChars="200" w:firstLine="640"/>
        <w:rPr>
          <w:rFonts w:ascii="Times New Roman" w:eastAsia="方正黑体_GBK" w:cs="Times New Roman" w:hAnsi="Times New Roman"/>
          <w:sz w:val="32"/>
          <w:szCs w:val="32"/>
        </w:rPr>
      </w:pPr>
      <w:r>
        <w:rPr>
          <w:rFonts w:ascii="Times New Roman" w:eastAsia="方正黑体_GBK" w:cs="Times New Roman" w:hAnsi="Times New Roman" w:hint="eastAsia"/>
          <w:sz w:val="32"/>
          <w:szCs w:val="32"/>
        </w:rPr>
        <w:t>一、对《</w:t>
      </w:r>
      <w:r>
        <w:rPr>
          <w:rFonts w:ascii="Times New Roman" w:eastAsia="方正黑体_GBK" w:cs="Times New Roman" w:hAnsi="Times New Roman"/>
          <w:sz w:val="32"/>
          <w:szCs w:val="32"/>
        </w:rPr>
        <w:t>保税区检验检疫监督管理办法</w:t>
      </w:r>
      <w:r>
        <w:rPr>
          <w:rFonts w:ascii="Times New Roman" w:eastAsia="方正黑体_GBK" w:cs="Times New Roman" w:hAnsi="Times New Roman" w:hint="eastAsia"/>
          <w:sz w:val="32"/>
          <w:szCs w:val="32"/>
        </w:rPr>
        <w:t>》（</w:t>
      </w:r>
      <w:r>
        <w:rPr>
          <w:rFonts w:ascii="Times New Roman" w:eastAsia="方正黑体_GBK" w:cs="Times New Roman" w:hAnsi="Times New Roman"/>
          <w:sz w:val="32"/>
          <w:szCs w:val="32"/>
        </w:rPr>
        <w:t>原国家质量监督检验检疫总局令第71号公布，根据海关总署令第238号、第240号、第243号</w:t>
      </w:r>
      <w:r>
        <w:rPr>
          <w:rFonts w:ascii="Times New Roman" w:eastAsia="方正黑体_GBK" w:cs="Times New Roman" w:hAnsi="Times New Roman" w:hint="eastAsia"/>
          <w:sz w:val="32"/>
          <w:szCs w:val="32"/>
        </w:rPr>
        <w:t>修正）作出修改</w:t>
      </w:r>
    </w:p>
    <w:p>
      <w:pPr>
        <w:rPr>
          <w:rFonts w:ascii="方正仿宋_GBK" w:eastAsia="方正仿宋_GBK"/>
          <w:szCs w:val="32"/>
        </w:rPr>
      </w:pPr>
      <w:r>
        <w:rPr>
          <w:rFonts w:ascii="方正仿宋_GBK" w:eastAsia="方正仿宋_GBK" w:hint="eastAsia"/>
          <w:szCs w:val="32"/>
        </w:rPr>
        <w:t>删</w:t>
      </w:r>
      <w:r>
        <w:rPr>
          <w:rFonts w:ascii="方正仿宋_GBK" w:eastAsia="方正仿宋_GBK"/>
          <w:szCs w:val="32"/>
        </w:rPr>
        <w:t>去</w:t>
      </w:r>
      <w:r>
        <w:rPr>
          <w:rFonts w:ascii="方正仿宋_GBK" w:eastAsia="方正仿宋_GBK" w:hint="eastAsia"/>
          <w:szCs w:val="32"/>
        </w:rPr>
        <w:t>第</w:t>
      </w:r>
      <w:r>
        <w:rPr>
          <w:rFonts w:ascii="方正仿宋_GBK" w:eastAsia="方正仿宋_GBK"/>
          <w:szCs w:val="32"/>
        </w:rPr>
        <w:t>九</w:t>
      </w:r>
      <w:r>
        <w:rPr>
          <w:rFonts w:ascii="方正仿宋_GBK" w:eastAsia="方正仿宋_GBK" w:hint="eastAsia"/>
          <w:szCs w:val="32"/>
        </w:rPr>
        <w:t>条中的“</w:t>
      </w:r>
      <w:r>
        <w:rPr>
          <w:rFonts w:ascii="方正仿宋_GBK" w:eastAsia="方正仿宋_GBK"/>
          <w:szCs w:val="32"/>
        </w:rPr>
        <w:t>可以用作原料的固体废物、</w:t>
      </w:r>
      <w:r>
        <w:rPr>
          <w:rFonts w:ascii="方正仿宋_GBK" w:eastAsia="方正仿宋_GBK" w:hint="eastAsia"/>
          <w:szCs w:val="32"/>
        </w:rPr>
        <w:t>”。</w:t>
      </w:r>
    </w:p>
    <w:p>
      <w:pPr>
        <w:pStyle w:val="25"/>
        <w:spacing w:line="560" w:lineRule="exact"/>
        <w:ind w:firstLineChars="200" w:firstLine="640"/>
        <w:rPr>
          <w:rFonts w:ascii="Times New Roman" w:eastAsia="方正黑体_GBK" w:cs="Times New Roman" w:hAnsi="Times New Roman"/>
          <w:sz w:val="32"/>
          <w:szCs w:val="32"/>
        </w:rPr>
      </w:pPr>
      <w:r>
        <w:rPr>
          <w:rFonts w:ascii="Times New Roman" w:eastAsia="方正黑体_GBK" w:cs="Times New Roman" w:hAnsi="Times New Roman"/>
          <w:sz w:val="32"/>
          <w:szCs w:val="32"/>
        </w:rPr>
        <w:t>二</w:t>
      </w:r>
      <w:r>
        <w:rPr>
          <w:rFonts w:ascii="Times New Roman" w:eastAsia="方正黑体_GBK" w:cs="Times New Roman" w:hAnsi="Times New Roman" w:hint="eastAsia"/>
          <w:sz w:val="32"/>
          <w:szCs w:val="32"/>
        </w:rPr>
        <w:t>、对《</w:t>
      </w:r>
      <w:r>
        <w:rPr>
          <w:rFonts w:ascii="Times New Roman" w:eastAsia="方正黑体_GBK" w:cs="Times New Roman" w:hAnsi="Times New Roman"/>
          <w:sz w:val="32"/>
          <w:szCs w:val="32"/>
        </w:rPr>
        <w:t>中华人民共和国海关进出境运输工具监管办法</w:t>
      </w:r>
      <w:r>
        <w:rPr>
          <w:rFonts w:ascii="Times New Roman" w:eastAsia="方正黑体_GBK" w:cs="Times New Roman" w:hAnsi="Times New Roman" w:hint="eastAsia"/>
          <w:sz w:val="32"/>
          <w:szCs w:val="32"/>
        </w:rPr>
        <w:t>》（</w:t>
      </w:r>
      <w:r>
        <w:rPr>
          <w:rFonts w:ascii="Times New Roman" w:eastAsia="方正黑体_GBK" w:cs="Times New Roman" w:hAnsi="Times New Roman"/>
          <w:sz w:val="32"/>
          <w:szCs w:val="32"/>
        </w:rPr>
        <w:t>海关总署令第196号公布</w:t>
      </w:r>
      <w:r>
        <w:rPr>
          <w:rFonts w:ascii="Times New Roman" w:eastAsia="方正黑体_GBK" w:cs="Times New Roman" w:hAnsi="Times New Roman" w:hint="eastAsia"/>
          <w:sz w:val="32"/>
          <w:szCs w:val="32"/>
        </w:rPr>
        <w:t>，</w:t>
      </w:r>
      <w:r>
        <w:rPr>
          <w:rFonts w:ascii="Times New Roman" w:eastAsia="方正黑体_GBK" w:cs="Times New Roman" w:hAnsi="Times New Roman"/>
          <w:sz w:val="32"/>
          <w:szCs w:val="32"/>
        </w:rPr>
        <w:t>根据海关总署令第240号修正</w:t>
      </w:r>
      <w:r>
        <w:rPr>
          <w:rFonts w:ascii="Times New Roman" w:eastAsia="方正黑体_GBK" w:cs="Times New Roman" w:hAnsi="Times New Roman" w:hint="eastAsia"/>
          <w:sz w:val="32"/>
          <w:szCs w:val="32"/>
        </w:rPr>
        <w:t>）作出修改</w:t>
      </w:r>
    </w:p>
    <w:p>
      <w:pPr>
        <w:pStyle w:val="27"/>
        <w:rPr>
          <w:rFonts w:ascii="方正仿宋_GBK" w:eastAsia="方正仿宋_GBK"/>
          <w:szCs w:val="32"/>
        </w:rPr>
      </w:pPr>
      <w:r>
        <w:rPr>
          <w:rFonts w:ascii="方正仿宋_GBK" w:eastAsia="方正仿宋_GBK"/>
          <w:szCs w:val="32"/>
        </w:rPr>
        <w:t>将第三十四条修改为：</w:t>
      </w:r>
      <w:r>
        <w:rPr>
          <w:rFonts w:ascii="方正仿宋_GBK" w:eastAsia="方正仿宋_GBK" w:hint="eastAsia"/>
          <w:szCs w:val="32"/>
        </w:rPr>
        <w:t>“</w:t>
      </w:r>
      <w:r>
        <w:rPr>
          <w:rFonts w:ascii="方正仿宋_GBK" w:eastAsia="方正仿宋_GBK"/>
          <w:szCs w:val="32"/>
        </w:rPr>
        <w:t>进出境运输工具产生并卸下的清舱污油水、垃圾等使用过的废弃物料应当按照国家有关规定作无害化处理。无法进行无害化处理的，进出境运输工具负责人依法办理退运手续。</w:t>
      </w:r>
    </w:p>
    <w:p>
      <w:pPr>
        <w:pStyle w:val="27"/>
        <w:rPr>
          <w:rFonts w:ascii="方正仿宋_GBK" w:eastAsia="方正仿宋_GBK"/>
          <w:szCs w:val="32"/>
        </w:rPr>
      </w:pPr>
      <w:r>
        <w:rPr>
          <w:rFonts w:ascii="方正仿宋_GBK" w:hint="eastAsia"/>
          <w:szCs w:val="32"/>
        </w:rPr>
        <w:t>“</w:t>
      </w:r>
      <w:r>
        <w:rPr>
          <w:rFonts w:ascii="方正仿宋_GBK" w:eastAsia="方正仿宋_GBK"/>
          <w:szCs w:val="32"/>
        </w:rPr>
        <w:t>海关依法对清舱污油水、垃圾等使用过的废弃物料的卸下、退运进行监管。</w:t>
      </w:r>
      <w:r>
        <w:rPr>
          <w:rFonts w:ascii="方正仿宋_GBK" w:eastAsia="方正仿宋_GBK" w:hint="eastAsia"/>
          <w:szCs w:val="32"/>
        </w:rPr>
        <w:t>”</w:t>
      </w:r>
    </w:p>
    <w:p>
      <w:pPr>
        <w:pStyle w:val="28"/>
        <w:spacing w:line="560" w:lineRule="exact"/>
        <w:ind w:firstLineChars="200" w:firstLine="640"/>
        <w:rPr>
          <w:rFonts w:ascii="Times New Roman" w:eastAsia="方正黑体_GBK" w:cs="Times New Roman" w:hAnsi="Times New Roman"/>
          <w:sz w:val="32"/>
          <w:szCs w:val="32"/>
        </w:rPr>
      </w:pPr>
      <w:r>
        <w:rPr>
          <w:rFonts w:ascii="Times New Roman" w:eastAsia="方正黑体_GBK" w:cs="Times New Roman" w:hAnsi="Times New Roman"/>
          <w:sz w:val="32"/>
          <w:szCs w:val="32"/>
        </w:rPr>
        <w:t>三</w:t>
      </w:r>
      <w:r>
        <w:rPr>
          <w:rFonts w:ascii="Times New Roman" w:eastAsia="方正黑体_GBK" w:cs="Times New Roman" w:hAnsi="Times New Roman" w:hint="eastAsia"/>
          <w:sz w:val="32"/>
          <w:szCs w:val="32"/>
        </w:rPr>
        <w:t>、对《</w:t>
      </w:r>
      <w:r>
        <w:rPr>
          <w:rFonts w:ascii="Times New Roman" w:eastAsia="方正黑体_GBK" w:cs="Times New Roman" w:hAnsi="Times New Roman"/>
          <w:sz w:val="32"/>
          <w:szCs w:val="32"/>
        </w:rPr>
        <w:t>中华人民共和国海关进口货物直接退运管理办法</w:t>
      </w:r>
      <w:r>
        <w:rPr>
          <w:rFonts w:ascii="Times New Roman" w:eastAsia="方正黑体_GBK" w:cs="Times New Roman" w:hAnsi="Times New Roman" w:hint="eastAsia"/>
          <w:sz w:val="32"/>
          <w:szCs w:val="32"/>
        </w:rPr>
        <w:t>》（</w:t>
      </w:r>
      <w:r>
        <w:rPr>
          <w:rFonts w:ascii="Times New Roman" w:eastAsia="方正黑体_GBK" w:cs="Times New Roman" w:hAnsi="Times New Roman"/>
          <w:sz w:val="32"/>
          <w:szCs w:val="32"/>
        </w:rPr>
        <w:t>海关总署令第217号公布</w:t>
      </w:r>
      <w:r>
        <w:rPr>
          <w:rFonts w:ascii="Times New Roman" w:eastAsia="方正黑体_GBK" w:cs="Times New Roman" w:hAnsi="Times New Roman" w:hint="eastAsia"/>
          <w:sz w:val="32"/>
          <w:szCs w:val="32"/>
        </w:rPr>
        <w:t>，</w:t>
      </w:r>
      <w:r>
        <w:rPr>
          <w:rFonts w:ascii="Times New Roman" w:eastAsia="方正黑体_GBK" w:cs="Times New Roman" w:hAnsi="Times New Roman"/>
          <w:sz w:val="32"/>
          <w:szCs w:val="32"/>
        </w:rPr>
        <w:t>根据海关总署令第238号、</w:t>
      </w:r>
      <w:r>
        <w:rPr>
          <w:rFonts w:ascii="Times New Roman" w:eastAsia="方正黑体_GBK" w:cs="Times New Roman" w:hAnsi="Times New Roman" w:hint="eastAsia"/>
          <w:sz w:val="32"/>
          <w:szCs w:val="32"/>
        </w:rPr>
        <w:t>第</w:t>
      </w:r>
      <w:r>
        <w:rPr>
          <w:rFonts w:ascii="Times New Roman" w:eastAsia="方正黑体_GBK" w:cs="Times New Roman" w:hAnsi="Times New Roman"/>
          <w:sz w:val="32"/>
          <w:szCs w:val="32"/>
        </w:rPr>
        <w:t>240号修正</w:t>
      </w:r>
      <w:r>
        <w:rPr>
          <w:rFonts w:ascii="Times New Roman" w:eastAsia="方正黑体_GBK" w:cs="Times New Roman" w:hAnsi="Times New Roman" w:hint="eastAsia"/>
          <w:sz w:val="32"/>
          <w:szCs w:val="32"/>
        </w:rPr>
        <w:t>）作出修改</w:t>
      </w:r>
    </w:p>
    <w:p>
      <w:pPr>
        <w:pStyle w:val="27"/>
        <w:rPr>
          <w:rFonts w:eastAsia="方正仿宋_GBK"/>
          <w:szCs w:val="32"/>
        </w:rPr>
      </w:pPr>
      <w:r>
        <w:rPr>
          <w:rFonts w:eastAsia="方正仿宋_GBK"/>
          <w:szCs w:val="32"/>
        </w:rPr>
        <w:t>删去第六条第三项，将第四项调整为第三项。</w:t>
      </w:r>
    </w:p>
    <w:p>
      <w:pPr>
        <w:pStyle w:val="3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540" w:lineRule="exact"/>
        <w:ind w:firstLineChars="200" w:firstLine="640"/>
        <w:rPr>
          <w:vanish w:val="0"/>
        </w:rPr>
      </w:pPr>
      <w:r>
        <w:rPr>
          <w:rFonts w:ascii="Times New Roman" w:eastAsia="方正仿宋_GBK" w:hAnsi="Times New Roman" w:hint="eastAsia"/>
          <w:vanish w:val="0"/>
        </w:rPr>
        <w:t>本决定</w:t>
      </w:r>
      <w:r>
        <w:rPr>
          <w:rFonts w:hint="eastAsia"/>
          <w:vanish w:val="0"/>
        </w:rPr>
        <w:t>对</w:t>
      </w:r>
      <w:r>
        <w:rPr>
          <w:rFonts w:ascii="Times New Roman" w:eastAsia="方正仿宋_GBK" w:hAnsi="Times New Roman"/>
          <w:bCs/>
          <w:vanish w:val="0"/>
        </w:rPr>
        <w:t>《保税区检验检疫监督管理办法》</w:t>
      </w:r>
      <w:r>
        <w:rPr>
          <w:rFonts w:hint="eastAsia"/>
          <w:bCs/>
          <w:vanish w:val="0"/>
        </w:rPr>
        <w:t>、</w:t>
      </w:r>
      <w:r>
        <w:rPr>
          <w:rFonts w:ascii="Times New Roman" w:eastAsia="方正仿宋_GBK" w:hAnsi="Times New Roman"/>
          <w:bCs/>
          <w:vanish w:val="0"/>
        </w:rPr>
        <w:t>《中华人民共和国海关进出境运输工具监管办法》</w:t>
      </w:r>
      <w:r>
        <w:rPr>
          <w:rFonts w:hint="eastAsia"/>
          <w:bCs/>
          <w:vanish w:val="0"/>
        </w:rPr>
        <w:t>、</w:t>
      </w:r>
      <w:r>
        <w:rPr>
          <w:rFonts w:ascii="Times New Roman" w:eastAsia="方正仿宋_GBK" w:hAnsi="Times New Roman"/>
          <w:bCs/>
          <w:vanish w:val="0"/>
        </w:rPr>
        <w:t>《中华人民共和国海关进口货物直接退运管理办法》</w:t>
      </w:r>
      <w:r>
        <w:rPr>
          <w:rFonts w:hint="eastAsia"/>
          <w:bCs/>
          <w:vanish w:val="0"/>
        </w:rPr>
        <w:t>所作的修改，</w:t>
      </w:r>
      <w:r>
        <w:rPr>
          <w:rFonts w:ascii="Times New Roman" w:eastAsia="方正仿宋_GBK" w:hAnsi="Times New Roman" w:hint="eastAsia"/>
          <w:vanish w:val="0"/>
        </w:rPr>
        <w:t>自</w:t>
      </w:r>
      <w:r>
        <w:rPr>
          <w:vanish w:val="0"/>
        </w:rPr>
        <w:t>2026年X月X日</w:t>
      </w:r>
      <w:r>
        <w:rPr>
          <w:rFonts w:ascii="Times New Roman" w:eastAsia="方正仿宋_GBK" w:hAnsi="Times New Roman" w:hint="eastAsia"/>
          <w:vanish w:val="0"/>
        </w:rPr>
        <w:t>起施行。</w:t>
      </w:r>
    </w:p>
    <w:p>
      <w:pPr>
        <w:pStyle w:val="27"/>
        <w:rPr>
          <w:rFonts w:ascii="方正仿宋_GBK" w:eastAsia="方正仿宋_GBK"/>
          <w:szCs w:val="32"/>
        </w:rPr>
      </w:pPr>
      <w:r>
        <w:rPr>
          <w:rFonts w:ascii="Times New Roman" w:eastAsia="方正仿宋_GBK" w:hAnsi="Times New Roman"/>
          <w:bCs/>
          <w:vanish w:val="0"/>
        </w:rPr>
        <w:t>《保税区检验检疫监督管理办法》</w:t>
      </w:r>
      <w:r>
        <w:rPr>
          <w:rFonts w:hint="eastAsia"/>
          <w:bCs/>
          <w:vanish w:val="0"/>
        </w:rPr>
        <w:t>、</w:t>
      </w:r>
      <w:r>
        <w:rPr>
          <w:rFonts w:ascii="Times New Roman" w:eastAsia="方正仿宋_GBK" w:hAnsi="Times New Roman"/>
          <w:bCs/>
          <w:vanish w:val="0"/>
        </w:rPr>
        <w:t>《中华人民共和国海关进出境运输工具监管办法》</w:t>
      </w:r>
      <w:r>
        <w:rPr>
          <w:rFonts w:hint="eastAsia"/>
          <w:bCs/>
          <w:vanish w:val="0"/>
        </w:rPr>
        <w:t>、</w:t>
      </w:r>
      <w:r>
        <w:rPr>
          <w:rFonts w:ascii="Times New Roman" w:eastAsia="方正仿宋_GBK" w:hAnsi="Times New Roman"/>
          <w:bCs/>
          <w:vanish w:val="0"/>
        </w:rPr>
        <w:t>《中华人民共和国海关进口货物直接退运管理办法》</w:t>
      </w:r>
      <w:r>
        <w:rPr>
          <w:rFonts w:ascii="Times New Roman" w:eastAsia="方正仿宋_GBK" w:hAnsi="Times New Roman" w:hint="eastAsia"/>
          <w:bCs/>
          <w:vanish w:val="0"/>
        </w:rPr>
        <w:t>根据本决定作相应修改，重新公布。</w:t>
      </w:r>
    </w:p>
    <w:p/>
    <w:sectPr>
      <w:pgSz w:w="11907" w:h="16839"/>
      <w:pgMar w:top="2098" w:right="1587" w:bottom="1984" w:left="1587" w:header="851" w:footer="992" w:gutter="0"/>
      <w:cols w:num="1" w:space="720"/>
      <w:docGrid w:type="lines" w:linePitch="435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黑体_GBK">
    <w:altName w:val="黑体"/>
    <w:panose1 w:val="02000000000000000000"/>
    <w:charset w:val="86"/>
    <w:family w:val="script"/>
    <w:pitch w:val="variable"/>
    <w:sig w:usb0="00000000" w:usb1="00000000" w:usb2="00000000" w:usb3="00000000" w:csb0="00040000" w:csb1="00000000"/>
  </w:font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方正小标宋_GBK">
    <w:altName w:val="汉仪书宋二KW"/>
    <w:panose1 w:val="02000000000000000000"/>
    <w:charset w:val="86"/>
    <w:family w:val="script"/>
    <w:pitch w:val="variable"/>
    <w:sig w:usb0="00000000" w:usb1="00000000" w:usb2="00000000" w:usb3="00000000" w:csb0="00040000" w:csb1="00000000"/>
  </w:font>
  <w:font w:name="方正楷体_GBK">
    <w:altName w:val="汉仪楷体KW"/>
    <w:panose1 w:val="02000000000000000000"/>
    <w:charset w:val="86"/>
    <w:family w:val="script"/>
    <w:pitch w:val="variable"/>
    <w:sig w:usb0="00000000" w:usb1="00000000" w:usb2="00000000" w:usb3="00000000" w:csb0="00040000" w:csb1="00000000"/>
  </w:font>
  <w:font w:name="方正仿宋_GBK">
    <w:altName w:val="汉仪仿宋KW"/>
    <w:panose1 w:val="02000000000000000000"/>
    <w:charset w:val="86"/>
    <w:family w:val="script"/>
    <w:pitch w:val="variable"/>
    <w:sig w:usb0="00000000" w:usb1="00000000" w:usb2="00000000" w:usb3="00000000" w:csb0="00040000" w:csb1="00000000"/>
  </w:font>
  <w:font w:name="宋体">
    <w:altName w:val="汉仪书宋二KW"/>
    <w:panose1 w:val="00000000000000000000"/>
    <w:charset w:val="86"/>
    <w:family w:val="auto"/>
    <w:pitch w:val="variable"/>
    <w:sig w:usb0="00000000" w:usb1="00000000" w:usb2="00000000" w:usb3="00000000" w:csb0="00000000" w:csb1="00000000"/>
  </w:font>
  <w:font w:name="Lucida Sans">
    <w:altName w:val="DejaVu Sans"/>
    <w:panose1 w:val="020B07030405040A0204"/>
    <w:charset w:val="00"/>
    <w:family w:val="auto"/>
    <w:pitch w:val="variable"/>
    <w:sig w:usb0="00000000" w:usb1="00000000" w:usb2="00000000" w:usb3="00000000" w:csb0="20000001" w:csb1="00000000"/>
  </w:font>
  <w:font w:name="黑体">
    <w:altName w:val="方正黑体_GBK"/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Calibri">
    <w:altName w:val="Times New Roman"/>
    <w:panose1 w:val="020F0502020204030204"/>
    <w:charset w:val="00"/>
    <w:family w:val="swiss"/>
    <w:pitch w:val="variable"/>
    <w:sig w:usb0="00000000" w:usb1="00000000" w:usb2="00000001" w:usb3="00000000" w:csb0="0000019F" w:csb1="00000000"/>
  </w:font>
  <w:font w:name="Arial">
    <w:altName w:val="DejaVu Sans"/>
    <w:panose1 w:val="020B0604020202020204"/>
    <w:charset w:val="01"/>
    <w:family w:val="swiss"/>
    <w:pitch w:val="variable"/>
    <w:sig w:usb0="E0002AFF" w:usb1="C0007843" w:usb2="00000009" w:usb3="00000000" w:csb0="400001FF" w:csb1="FFFF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bestFit" w:percent="100"/>
  <w:doNotDisplayPageBoundaries/>
  <w:displayBackgroundShape/>
  <w:bordersDoNotSurroundHeader/>
  <w:bordersDoNotSurroundFooter/>
  <w:trackRevisions/>
  <w:documentProtection w:edit="readOnly" w:enforcement="0"/>
  <w:defaultTabStop w:val="420"/>
  <w:drawingGridHorizontalSpacing w:val="160"/>
  <w:drawingGridVerticalSpacing w:val="217"/>
  <w:displayHorizontalDrawingGridEvery w:val="0"/>
  <w:displayVerticalDrawingGridEvery w:val="1"/>
  <w:characterSpacingControl w:val="compressPunctuation"/>
  <w:compat>
    <w:spaceForUL/>
    <w:balanceSingleByteDoubleByteWidth/>
    <w:ulTrailSpace/>
    <w:doNotExpandShiftReturn/>
    <w:adjustLineHeightInTable/>
    <w:useAltKinsokuLineBreakRules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Lucida Sans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spacing w:line="560" w:lineRule="exact"/>
      <w:ind w:firstLineChars="200" w:firstLine="200"/>
      <w:jc w:val="both"/>
    </w:pPr>
    <w:rPr>
      <w:rFonts w:ascii="Times New Roman" w:eastAsia="方正仿宋_GBK" w:cs="Lucida Sans" w:hAnsi="Times New Roman"/>
      <w:kern w:val="2"/>
      <w:sz w:val="32"/>
      <w:szCs w:val="21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widowControl w:val="0"/>
      <w:spacing w:before="340" w:after="330" w:line="8160" w:lineRule="auto"/>
      <w:ind w:firstLineChars="0" w:firstLine="0"/>
      <w:jc w:val="center"/>
      <w:outlineLvl w:val="0"/>
    </w:pPr>
    <w:rPr>
      <w:rFonts w:eastAsia="方正小标宋_GBK"/>
      <w:b/>
      <w:bCs/>
      <w:kern w:val="44"/>
      <w:sz w:val="44"/>
      <w:szCs w:val="44"/>
    </w:rPr>
  </w:style>
  <w:style w:type="paragraph" w:styleId="2">
    <w:name w:val="heading 2"/>
    <w:basedOn w:val="0"/>
    <w:next w:val="0"/>
    <w:pPr>
      <w:keepNext/>
      <w:keepLines/>
      <w:widowControl w:val="0"/>
      <w:spacing w:before="260" w:after="260" w:line="415" w:lineRule="auto"/>
      <w:outlineLvl w:val="1"/>
    </w:pPr>
    <w:rPr>
      <w:rFonts w:ascii="Times New Roman" w:eastAsia="黑体" w:hAnsi="Times New Roman"/>
      <w:b/>
      <w:bCs/>
      <w:sz w:val="32"/>
      <w:szCs w:val="32"/>
    </w:rPr>
  </w:style>
  <w:style w:type="paragraph" w:styleId="3">
    <w:name w:val="heading 3"/>
    <w:basedOn w:val="0"/>
    <w:next w:val="0"/>
    <w:pPr>
      <w:keepNext/>
      <w:keepLines/>
      <w:widowControl w:val="0"/>
      <w:spacing w:before="260" w:after="260" w:line="415" w:lineRule="auto"/>
      <w:outlineLvl w:val="2"/>
    </w:pPr>
    <w:rPr>
      <w:b/>
      <w:bCs/>
      <w:sz w:val="32"/>
      <w:szCs w:val="32"/>
    </w:rPr>
  </w:style>
  <w:style w:type="character" w:default="1" w:styleId="10">
    <w:name w:val="Default Paragraph Font"/>
  </w:style>
  <w:style w:type="paragraph" w:styleId="15">
    <w:name w:val="Normal Indent"/>
    <w:basedOn w:val="0"/>
    <w:pPr>
      <w:ind w:firstLineChars="0" w:firstLine="420"/>
    </w:pPr>
  </w:style>
  <w:style w:type="paragraph" w:styleId="16">
    <w:name w:val="annotation text"/>
    <w:basedOn w:val="0"/>
    <w:pPr>
      <w:jc w:val="left"/>
    </w:pPr>
  </w:style>
  <w:style w:type="paragraph" w:styleId="17">
    <w:name w:val="Body Text"/>
    <w:basedOn w:val="0"/>
    <w:pPr>
      <w:spacing w:after="120"/>
    </w:pPr>
  </w:style>
  <w:style w:type="paragraph" w:styleId="18">
    <w:name w:val="endnote text"/>
    <w:basedOn w:val="0"/>
    <w:pPr>
      <w:snapToGrid w:val="0"/>
      <w:jc w:val="left"/>
    </w:pPr>
  </w:style>
  <w:style w:type="paragraph" w:styleId="19">
    <w:name w:val="header"/>
    <w:basedOn w:val="0"/>
    <w:pPr>
      <w:pBdr>
        <w:bottom w:val="single" w:sz="6" w:space="1" w:color="auto"/>
      </w:pBdr>
      <w:tabs>
        <w:tab w:val="center" w:pos="4153"/>
        <w:tab w:val="right" w:pos="8307"/>
      </w:tabs>
      <w:snapToGrid w:val="0"/>
      <w:jc w:val="center"/>
    </w:pPr>
    <w:rPr>
      <w:sz w:val="18"/>
      <w:szCs w:val="18"/>
    </w:rPr>
  </w:style>
  <w:style w:type="paragraph" w:styleId="20">
    <w:name w:val="footnote text"/>
    <w:basedOn w:val="0"/>
    <w:pPr>
      <w:snapToGrid w:val="0"/>
      <w:jc w:val="left"/>
    </w:pPr>
    <w:rPr>
      <w:sz w:val="18"/>
      <w:szCs w:val="18"/>
    </w:rPr>
  </w:style>
  <w:style w:type="character" w:styleId="21">
    <w:name w:val="Hyperlink"/>
    <w:basedOn w:val="10"/>
    <w:rPr>
      <w:color w:val="0000FF"/>
      <w:u w:val="single"/>
    </w:rPr>
  </w:style>
  <w:style w:type="paragraph" w:customStyle="1" w:styleId="22">
    <w:name w:val="样式 26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3">
    <w:name w:val="样式 26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4">
    <w:name w:val="样式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5">
    <w:name w:val="样式 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6">
    <w:name w:val="样式 三号"/>
    <w:pPr>
      <w:widowControl w:val="0"/>
      <w:spacing w:line="560" w:lineRule="exact"/>
      <w:ind w:firstLineChars="200" w:firstLine="200"/>
      <w:jc w:val="both"/>
    </w:pPr>
    <w:rPr>
      <w:rFonts w:ascii="Times New Roman" w:eastAsia="方正仿宋_GBK" w:cs="Lucida Sans" w:hAnsi="Times New Roman"/>
      <w:kern w:val="2"/>
      <w:sz w:val="32"/>
      <w:szCs w:val="21"/>
      <w:lang w:val="en-US" w:eastAsia="zh-CN" w:bidi="ar-SA"/>
    </w:rPr>
  </w:style>
  <w:style w:type="paragraph" w:customStyle="1" w:styleId="27">
    <w:name w:val="样式 1 三号"/>
    <w:pPr>
      <w:widowControl w:val="0"/>
      <w:spacing w:line="560" w:lineRule="exact"/>
      <w:ind w:firstLineChars="200" w:firstLine="200"/>
      <w:jc w:val="both"/>
    </w:pPr>
    <w:rPr>
      <w:rFonts w:ascii="Times New Roman" w:eastAsia="方正仿宋_GBK" w:cs="Lucida Sans" w:hAnsi="Times New Roman"/>
      <w:kern w:val="2"/>
      <w:sz w:val="32"/>
      <w:szCs w:val="21"/>
      <w:lang w:val="en-US" w:eastAsia="zh-CN" w:bidi="ar-SA"/>
    </w:rPr>
  </w:style>
  <w:style w:type="paragraph" w:customStyle="1" w:styleId="28">
    <w:name w:val="样式 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9">
    <w:name w:val="样式 2 三号"/>
    <w:pPr>
      <w:widowControl w:val="0"/>
      <w:spacing w:line="560" w:lineRule="exact"/>
      <w:ind w:firstLineChars="200" w:firstLine="200"/>
      <w:jc w:val="both"/>
    </w:pPr>
    <w:rPr>
      <w:rFonts w:ascii="Times New Roman" w:eastAsia="方正仿宋_GBK" w:cs="Lucida Sans" w:hAnsi="Times New Roman"/>
      <w:kern w:val="2"/>
      <w:sz w:val="32"/>
      <w:szCs w:val="21"/>
      <w:lang w:val="en-US" w:eastAsia="zh-CN" w:bidi="ar-SA"/>
    </w:rPr>
  </w:style>
  <w:style w:type="paragraph" w:customStyle="1" w:styleId="30">
    <w:name w:val="样式 43 三号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方正仿宋_GBK" w:cs="Times New Roman" w:hAnsi="Times New Roman"/>
      <w:snapToGrid/>
      <w:color w:val="auto"/>
      <w:spacing w:val="0"/>
      <w:w w:val="100"/>
      <w:kern w:val="2"/>
      <w:position w:val="0"/>
      <w:sz w:val="32"/>
      <w:szCs w:val="22"/>
      <w:u w:val="none" w:color="auto"/>
      <w:shd w:val="clear" w:color="auto" w:fill="auto"/>
      <w:vertAlign w:val="baseline"/>
      <w:lang w:val="en-US" w:eastAsia="zh-CN" w:bidi="ar-SA"/>
    </w:rPr>
  </w:style>
  <w:style w:type="paragraph" w:customStyle="1" w:styleId="31">
    <w:name w:val="样式 44 三号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方正仿宋_GBK" w:cs="Times New Roman" w:hAnsi="Times New Roman"/>
      <w:snapToGrid/>
      <w:color w:val="auto"/>
      <w:spacing w:val="0"/>
      <w:w w:val="100"/>
      <w:kern w:val="2"/>
      <w:position w:val="0"/>
      <w:sz w:val="32"/>
      <w:szCs w:val="20"/>
      <w:u w:val="none" w:color="auto"/>
      <w:shd w:val="clear" w:color="auto" w:fill="auto"/>
      <w:vertAlign w:val="baseline"/>
      <w:lang w:val="en-US" w:eastAsia="zh-CN" w:bidi="ar-SA"/>
    </w:rPr>
  </w:style>
  <w:style w:type="paragraph" w:customStyle="1" w:styleId="32">
    <w:name w:val="样式 3 三号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方正仿宋_GBK" w:cs="Times New Roman" w:hAnsi="Times New Roman"/>
      <w:snapToGrid/>
      <w:color w:val="auto"/>
      <w:spacing w:val="0"/>
      <w:w w:val="100"/>
      <w:kern w:val="2"/>
      <w:position w:val="0"/>
      <w:sz w:val="32"/>
      <w:szCs w:val="20"/>
      <w:u w:val="none" w:color="auto"/>
      <w:shd w:val="clear" w:color="auto" w:fill="auto"/>
      <w:vertAlign w:val="baseline"/>
      <w:lang w:val="en-US" w:eastAsia="zh-CN" w:bidi="ar-SA"/>
    </w:rPr>
  </w:style>
  <w:style w:type="paragraph" w:customStyle="1" w:styleId="33">
    <w:name w:val="样式 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4">
    <w:name w:val="样式 4 三号"/>
    <w:pPr>
      <w:widowControl w:val="0"/>
      <w:spacing w:line="240" w:lineRule="auto"/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customXml" Target="../customXml/item1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ustomData xmlns="http://www.yozosoft.com.cn/officeDocument/2016/customData">
  <customProps>
    <docPr revisions="3 3 5 12 0 0 1 0 0 0 3000 0 1 1 1 1"/>
    <sectPr/>
  </customProps>
</customData>
</file>

<file path=customXml/itemProps1.xml><?xml version="1.0" encoding="utf-8"?>
<ds:datastoreItem xmlns:ds="http://schemas.openxmlformats.org/officeDocument/2006/customXml" ds:itemID="{EAF6C203-178C-40F0-8616-382A75861C14}">
  <ds:schemaRefs>
    <ds:schemaRef ds:uri="http://www.yozosoft.com.cn/officeDocument/2016/customData"/>
  </ds:schemaRefs>
</ds:datastoreItem>
</file>

<file path=docProps/app.xml><?xml version="1.0" encoding="utf-8"?>
<Properties xmlns="http://schemas.openxmlformats.org/officeDocument/2006/extended-properties">
  <Template>Normal.eit</Template>
  <TotalTime>25</TotalTime>
  <Application>Yozo_Office27021597764231179</Application>
  <Pages>2</Pages>
  <Words>0</Words>
  <Characters>468</Characters>
  <Lines>0</Lines>
  <Paragraphs>16</Paragraphs>
  <CharactersWithSpaces>624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Cynthia</dc:creator>
  <cp:lastModifiedBy>li_ruiqi</cp:lastModifiedBy>
  <cp:revision>0</cp:revision>
  <dcterms:created xsi:type="dcterms:W3CDTF">2021-07-10T01:38:00Z</dcterms:created>
  <dcterms:modified xsi:type="dcterms:W3CDTF">2026-09-17T07:38:56Z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2052-12.9.0.21590</vt:lpwstr>
  </property>
  <property fmtid="{D5CDD505-2E9C-101B-9397-08002B2CF9AE}" pid="3" name="ICV">
    <vt:lpwstr>4B87048A3E40EBE24096A76A916944CE_43</vt:lpwstr>
  </property>
</Properties>
</file>