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39"/>
        <w:spacing w:line="600" w:lineRule="exact"/>
        <w:rPr>
          <w:rFonts w:ascii="方正黑体_GBK" w:eastAsia="方正黑体_GBK"/>
          <w:szCs w:val="32"/>
        </w:rPr>
      </w:pPr>
      <w:r>
        <w:rPr>
          <w:rFonts w:ascii="方正黑体_GBK" w:eastAsia="方正黑体_GBK" w:hint="eastAsia"/>
          <w:szCs w:val="32"/>
        </w:rPr>
        <w:t>附件</w:t>
      </w:r>
      <w:r>
        <w:rPr>
          <w:rFonts w:ascii="方正黑体_GBK" w:eastAsia="方正黑体_GBK"/>
          <w:szCs w:val="32"/>
        </w:rPr>
        <w:t>3</w:t>
      </w:r>
      <w:bookmarkStart w:id="0" w:name="_GoBack"/>
      <w:bookmarkEnd w:id="0"/>
    </w:p>
    <w:p>
      <w:pPr>
        <w:pStyle w:val="39"/>
        <w:spacing w:line="600" w:lineRule="exact"/>
        <w:rPr>
          <w:rFonts w:ascii="方正黑体_GBK" w:eastAsia="方正黑体_GBK" w:hint="eastAsia"/>
          <w:szCs w:val="32"/>
        </w:rPr>
      </w:pPr>
    </w:p>
    <w:p>
      <w:pPr>
        <w:pStyle w:val="20"/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《海关总署关于修改部分规章的决定</w:t>
      </w:r>
    </w:p>
    <w:p>
      <w:pPr>
        <w:pStyle w:val="20"/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（</w:t>
      </w:r>
      <w:r>
        <w:rPr>
          <w:rFonts w:ascii="方正小标宋_GBK" w:eastAsia="方正小标宋_GBK"/>
          <w:sz w:val="44"/>
          <w:szCs w:val="44"/>
        </w:rPr>
        <w:t>征求意见稿</w:t>
      </w:r>
      <w:r>
        <w:rPr>
          <w:rFonts w:ascii="方正小标宋_GBK" w:eastAsia="方正小标宋_GBK" w:hint="eastAsia"/>
          <w:sz w:val="44"/>
          <w:szCs w:val="44"/>
        </w:rPr>
        <w:t>）》</w:t>
      </w:r>
      <w:r>
        <w:rPr>
          <w:rFonts w:ascii="方正小标宋_GBK" w:eastAsia="方正小标宋_GBK"/>
          <w:sz w:val="44"/>
          <w:szCs w:val="44"/>
        </w:rPr>
        <w:t>起草说明</w:t>
      </w:r>
    </w:p>
    <w:p>
      <w:pPr>
        <w:spacing w:line="560" w:lineRule="exact"/>
        <w:ind w:firstLineChars="200" w:firstLine="720"/>
      </w:pPr>
      <w:r>
        <w:rPr>
          <w:rFonts w:ascii="方正小标宋_GBK" w:eastAsia="方正小标宋_GBK" w:hint="eastAsia"/>
          <w:sz w:val="36"/>
          <w:szCs w:val="36"/>
        </w:rPr>
        <w:t xml:space="preserve"> </w:t>
      </w:r>
    </w:p>
    <w:p>
      <w:pPr>
        <w:spacing w:line="560" w:lineRule="exact"/>
        <w:ind w:firstLineChars="200" w:firstLine="640"/>
      </w:pPr>
      <w:r>
        <w:t>《中华人民共和国生态环境法典》（以下简称《生态环境法典》）已于2026年3月12日由十四届全国人大四次会议表决通过，自2026年8月15日起施行。为保障《生态环境法典》的贯彻落实，海关总署对《保税区检验检疫监督管理办法》等3部规章进行一揽子修订，组织起草《海关总署关于修改部分规章的决定（征求意见稿）》。现将有关情况说明如下：</w:t>
      </w:r>
    </w:p>
    <w:p>
      <w:pPr>
        <w:pStyle w:val="22"/>
        <w:spacing w:line="560" w:lineRule="exact"/>
        <w:ind w:firstLineChars="200" w:firstLine="640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一、</w:t>
      </w:r>
      <w:r>
        <w:rPr>
          <w:rFonts w:ascii="方正黑体_GBK" w:eastAsia="方正黑体_GBK"/>
        </w:rPr>
        <w:t>修改</w:t>
      </w:r>
      <w:r>
        <w:rPr>
          <w:rFonts w:ascii="方正黑体_GBK" w:eastAsia="方正黑体_GBK" w:hint="eastAsia"/>
        </w:rPr>
        <w:t>的</w:t>
      </w:r>
      <w:r>
        <w:rPr>
          <w:rFonts w:ascii="方正黑体_GBK" w:eastAsia="方正黑体_GBK"/>
        </w:rPr>
        <w:t>背景和</w:t>
      </w:r>
      <w:r>
        <w:rPr>
          <w:rFonts w:ascii="方正黑体_GBK" w:eastAsia="方正黑体_GBK" w:hint="eastAsia"/>
        </w:rPr>
        <w:t>必要性</w:t>
      </w:r>
    </w:p>
    <w:p>
      <w:pPr>
        <w:pStyle w:val="22"/>
        <w:spacing w:line="560" w:lineRule="exact"/>
        <w:ind w:firstLineChars="200" w:firstLine="640"/>
      </w:pPr>
      <w:r>
        <w:t>《生态环境法典》全面贯彻习近平生态文明思想，</w:t>
      </w:r>
      <w:r>
        <w:rPr>
          <w:rFonts w:hint="eastAsia"/>
        </w:rPr>
        <w:t>对现行生态环境法律制度进行系统</w:t>
      </w:r>
      <w:r>
        <w:t>编订纂修</w:t>
      </w:r>
      <w:r>
        <w:rPr>
          <w:rFonts w:hint="eastAsia"/>
        </w:rPr>
        <w:t>，</w:t>
      </w:r>
      <w:r>
        <w:t>将新时代生态文明建设的理论、制度、实践成果法典化，使中国特色社会主义法律体系更加完善。作为守护国门安全的第一道防线，贯彻落实《生态环境法典》是海关履行法定职责的必然要求，在现行有效海关规章中，《保税区检验检疫监督管理办法》等3部规章个别条款与《生态环境法典》的要求不完全一致，</w:t>
      </w:r>
      <w:r>
        <w:rPr>
          <w:rFonts w:hint="eastAsia"/>
        </w:rPr>
        <w:t>因此，有必要对</w:t>
      </w:r>
      <w:r>
        <w:t>相关规章进行修改。</w:t>
      </w:r>
    </w:p>
    <w:p>
      <w:pPr>
        <w:pStyle w:val="22"/>
        <w:spacing w:line="560" w:lineRule="exact"/>
        <w:ind w:firstLineChars="200" w:firstLine="640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二、</w:t>
      </w:r>
      <w:r>
        <w:rPr>
          <w:rFonts w:ascii="方正黑体_GBK" w:eastAsia="方正黑体_GBK"/>
        </w:rPr>
        <w:t>修改</w:t>
      </w:r>
      <w:r>
        <w:rPr>
          <w:rFonts w:ascii="方正黑体_GBK" w:eastAsia="方正黑体_GBK" w:hint="eastAsia"/>
        </w:rPr>
        <w:t>的</w:t>
      </w:r>
      <w:r>
        <w:rPr>
          <w:rFonts w:ascii="方正黑体_GBK" w:eastAsia="方正黑体_GBK"/>
        </w:rPr>
        <w:t>基本原则和主要内容</w:t>
      </w:r>
    </w:p>
    <w:p>
      <w:pPr>
        <w:pStyle w:val="17"/>
        <w:spacing w:line="560" w:lineRule="exact"/>
        <w:ind w:firstLineChars="200" w:firstLine="640"/>
        <w:rPr>
          <w:bCs/>
          <w:lang w:bidi="ar-SA"/>
        </w:rPr>
      </w:pPr>
      <w:r>
        <w:rPr>
          <w:bCs w:val="0"/>
          <w:sz w:val="32"/>
          <w:lang w:bidi="ar-SA"/>
        </w:rPr>
        <w:t>此次修改</w:t>
      </w:r>
      <w:r>
        <w:rPr>
          <w:rFonts w:hAnsi="Times New Roman"/>
          <w:sz w:val="32"/>
        </w:rPr>
        <w:t>坚持问题导向，聚焦海关规章与</w:t>
      </w:r>
      <w:r>
        <w:rPr>
          <w:sz w:val="32"/>
        </w:rPr>
        <w:t>《生态环境法典》规定不一致内容，</w:t>
      </w:r>
      <w:r>
        <w:rPr>
          <w:bCs w:val="0"/>
          <w:sz w:val="32"/>
          <w:lang w:bidi="ar-SA"/>
        </w:rPr>
        <w:t>采取一揽子修改方式。</w:t>
      </w:r>
      <w:r>
        <w:rPr>
          <w:rFonts w:ascii="Times New Roman" w:eastAsia="方正仿宋_GBK" w:cs="Times New Roman" w:hAnsi="Times New Roman"/>
          <w:b w:val="0"/>
          <w:bCs w:val="0"/>
          <w:caps w:val="0"/>
          <w:smallCaps w:val="0"/>
          <w:kern w:val="2"/>
          <w:sz w:val="32"/>
          <w:szCs w:val="22"/>
          <w:vertAlign w:val="baseline"/>
          <w:lang w:val="en-US" w:eastAsia="zh-CN" w:bidi="ar-SA"/>
        </w:rPr>
        <w:t>规章的一揽子修改是为实现同一立法目的，对涉及同类事项或者同一事由的多部规章，进行一并修改的修法方式，</w:t>
      </w:r>
      <w:r>
        <w:rPr>
          <w:rFonts w:cs="Times New Roman" w:hAnsi="Times New Roman"/>
          <w:bCs w:val="0"/>
          <w:sz w:val="32"/>
          <w:szCs w:val="22"/>
          <w:lang w:bidi="ar-SA"/>
        </w:rPr>
        <w:t>能够节约立法成本、提升审议效率。</w:t>
      </w:r>
    </w:p>
    <w:p>
      <w:pPr>
        <w:pStyle w:val="22"/>
        <w:spacing w:line="560" w:lineRule="exact"/>
        <w:ind w:firstLineChars="200" w:firstLine="640"/>
        <w:rPr>
          <w:rFonts w:ascii="Times New Roman" w:eastAsia="方正仿宋_GBK" w:hAnsi="Times New Roman" w:hint="eastAsia"/>
          <w:b w:val="0"/>
          <w:bCs w:val="0"/>
        </w:rPr>
      </w:pPr>
      <w:r>
        <w:t>《生态环境法典》第四百七十八条明确规定</w:t>
      </w:r>
      <w:r>
        <w:rPr>
          <w:rFonts w:hint="eastAsia"/>
        </w:rPr>
        <w:t>“国家实行固体废物零进口”</w:t>
      </w:r>
      <w:r>
        <w:t>。因此，删除《保税区检验检疫监督管理办法》中允许进口可用作原料的固体废物相关表述；删除《中华人民共和国海关进出境运输工具监管办法》中关于自动进口类可用作原料的废物目录、限制进口类可用作原料的废物目录相关表述；删除《中华人民共和国海关进口货物直接退运管理办法》中关于限制进口的固体废物相关表述。</w:t>
      </w:r>
    </w:p>
    <w:p>
      <w:pPr>
        <w:spacing w:line="560" w:lineRule="exact"/>
        <w:ind w:firstLineChars="200" w:firstLine="640"/>
      </w:pPr>
      <w:r>
        <w:t>特此说明。</w:t>
      </w:r>
    </w:p>
    <w:sectPr>
      <w:pgSz w:w="11907" w:h="16839"/>
      <w:pgMar w:top="1440" w:right="1800" w:bottom="1440" w:left="1800" w:header="851" w:footer="992" w:gutter="0"/>
      <w:cols w:num="1" w:space="72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黑体"/>
    <w:panose1 w:val="02000000000000000000"/>
    <w:charset w:val="86"/>
    <w:family w:val="script"/>
    <w:pitch w:val="variable"/>
    <w:sig w:usb0="00000000" w:usb1="00000000" w:usb2="00000000" w:usb3="00000000" w:csb0="00040000" w:csb1="00000000"/>
  </w:font>
  <w:font w:name="方正小标宋_GBK">
    <w:altName w:val="汉仪书宋二KW"/>
    <w:panose1 w:val="02000000000000000000"/>
    <w:charset w:val="86"/>
    <w:family w:val="script"/>
    <w:pitch w:val="variable"/>
    <w:sig w:usb0="00000000" w:usb1="00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altName w:val="汉仪仿宋KW"/>
    <w:panose1 w:val="02000000000000000000"/>
    <w:charset w:val="86"/>
    <w:family w:val="script"/>
    <w:pitch w:val="variable"/>
    <w:sig w:usb0="00000000" w:usb1="00000000" w:usb2="00000000" w:usb3="00000000" w:csb0="00040000" w:csb1="00000000"/>
  </w:font>
  <w:font w:name="宋体">
    <w:altName w:val="汉仪书宋二KW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Lucida Sans">
    <w:altName w:val="DejaVu Sans"/>
    <w:panose1 w:val="020B07030405040A0204"/>
    <w:charset w:val="00"/>
    <w:family w:val="auto"/>
    <w:pitch w:val="variable"/>
    <w:sig w:usb0="00000000" w:usb1="00000000" w:usb2="00000000" w:usb3="00000000" w:csb0="20000001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trackRevisions/>
  <w:documentProtection w:edit="readOnly" w:enforcement="0"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8160" w:lineRule="auto"/>
      <w:ind w:firstLine="0"/>
      <w:jc w:val="center"/>
      <w:outlineLvl w:val="0"/>
    </w:pPr>
    <w:rPr>
      <w:rFonts w:eastAsia="方正小标宋_GBK"/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toc 1"/>
    <w:basedOn w:val="0"/>
    <w:autoRedefine/>
    <w:next w:val="0"/>
  </w:style>
  <w:style w:type="paragraph" w:styleId="16">
    <w:name w:val="toc 4"/>
    <w:basedOn w:val="0"/>
    <w:autoRedefine/>
    <w:next w:val="0"/>
    <w:pPr>
      <w:ind w:left="1260"/>
    </w:pPr>
  </w:style>
  <w:style w:type="paragraph" w:styleId="17">
    <w:name w:val="Normal (Web)"/>
    <w:basedOn w:val="0"/>
    <w:rPr>
      <w:sz w:val="24"/>
    </w:rPr>
  </w:style>
  <w:style w:type="paragraph" w:customStyle="1" w:styleId="18">
    <w:name w:val="正文文字 2"/>
    <w:basedOn w:val="0"/>
    <w:autoRedefine/>
    <w:next w:val="0"/>
    <w:pPr>
      <w:ind w:left="240"/>
    </w:pPr>
    <w:rPr>
      <w:rFonts w:ascii="Arial" w:hAnsi="Arial"/>
      <w:sz w:val="28"/>
      <w:szCs w:val="28"/>
    </w:rPr>
  </w:style>
  <w:style w:type="paragraph" w:customStyle="1" w:styleId="19">
    <w:name w:val="公式样式 变量"/>
    <w:autoRedefine/>
    <w:rPr>
      <w:rFonts w:ascii="Times New Roman" w:eastAsia="宋体" w:cs="Lucida Sans" w:hAnsi="Times New Roman"/>
      <w:i/>
      <w:sz w:val="20"/>
      <w:szCs w:val="20"/>
      <w:lang w:val="en-US" w:eastAsia="zh-CN" w:bidi="ar-SA"/>
    </w:rPr>
  </w:style>
  <w:style w:type="paragraph" w:customStyle="1" w:styleId="20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2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3">
    <w:name w:val="样式 5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4">
    <w:name w:val="样式 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5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6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7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8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29">
    <w:name w:val="样式 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0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1">
    <w:name w:val="样式 78 三号"/>
    <w:pPr>
      <w:widowControl w:val="0"/>
      <w:spacing w:line="560" w:lineRule="exact"/>
      <w:ind w:firstLineChars="200" w:firstLine="200"/>
      <w:jc w:val="both"/>
    </w:pPr>
    <w:rPr>
      <w:rFonts w:ascii="Times New Roman" w:eastAsia="方正仿宋_GBK" w:cs="Lucida Sans" w:hAnsi="Times New Roman"/>
      <w:kern w:val="2"/>
      <w:sz w:val="32"/>
      <w:szCs w:val="21"/>
      <w:lang w:val="en-US" w:eastAsia="zh-CN" w:bidi="ar-SA"/>
    </w:rPr>
  </w:style>
  <w:style w:type="paragraph" w:customStyle="1" w:styleId="32">
    <w:name w:val="样式 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3">
    <w:name w:val="样式 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4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5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6">
    <w:name w:val="样式 12 三号"/>
    <w:pPr>
      <w:widowControl w:val="0"/>
      <w:spacing w:line="560" w:lineRule="exact"/>
      <w:ind w:firstLineChars="200" w:firstLine="200"/>
      <w:jc w:val="both"/>
    </w:pPr>
    <w:rPr>
      <w:rFonts w:ascii="Times New Roman" w:eastAsia="方正仿宋_GBK" w:cs="Lucida Sans" w:hAnsi="Times New Roman"/>
      <w:kern w:val="2"/>
      <w:sz w:val="32"/>
      <w:szCs w:val="21"/>
      <w:lang w:val="en-US" w:eastAsia="zh-CN" w:bidi="ar-SA"/>
    </w:rPr>
  </w:style>
  <w:style w:type="paragraph" w:customStyle="1" w:styleId="37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8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9">
    <w:name w:val="样式 15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40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1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2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3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4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5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6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7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92C3F0A-97F1-48ED-910B-44DC0EA8FEE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93</TotalTime>
  <Application>Yozo_Office27021597764231179</Application>
  <Pages>2</Pages>
  <Words>0</Words>
  <Characters>540</Characters>
  <Lines>0</Lines>
  <Paragraphs>12</Paragraphs>
  <CharactersWithSpaces>721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li_ruiqi</cp:lastModifiedBy>
  <cp:revision>0</cp:revision>
  <dcterms:created xsi:type="dcterms:W3CDTF">2021-07-11T01:38:00Z</dcterms:created>
  <dcterms:modified xsi:type="dcterms:W3CDTF">2026-09-17T07:41:16Z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2052-12.9.0.21590</vt:lpwstr>
  </property>
  <property fmtid="{D5CDD505-2E9C-101B-9397-08002B2CF9AE}" pid="3" name="ICV">
    <vt:lpwstr>5014DB9F5E094507B0BDA76A4D0DA946_43</vt:lpwstr>
  </property>
</Properties>
</file>