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hd w:val="clear" w:color="auto" w:fill="FFFFFF"/>
        <w:spacing w:before="0" w:beforeAutospacing="0" w:after="0" w:afterAutospacing="0" w:line="560" w:lineRule="exact"/>
        <w:ind w:left="0"/>
        <w:jc w:val="both"/>
        <w:rPr>
          <w:rFonts w:ascii="Times New Roman" w:eastAsia="方正黑体_GBK" w:cs="Times New Roman" w:hAnsi="Times New Roman"/>
          <w:b w:val="0"/>
          <w:i w:val="0"/>
          <w:iCs w:val="0"/>
          <w:caps w:val="0"/>
          <w:smallCaps w:val="0"/>
          <w:vanish w:val="0"/>
          <w:color w:val="0F1115"/>
          <w:spacing w:val="0"/>
          <w:sz w:val="32"/>
          <w:szCs w:val="32"/>
        </w:rPr>
      </w:pP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560" w:lineRule="exact"/>
        <w:ind w:left="0" w:right="0"/>
        <w:jc w:val="center"/>
        <w:outlineLvl w:val="1"/>
        <w:rPr>
          <w:rFonts w:ascii="Times New Roman" w:eastAsia="方正小标宋_GBK" w:cs="Times New Roman" w:hAnsi="Times New Roman"/>
          <w:b w:val="0"/>
          <w:i w:val="0"/>
          <w:iCs w:val="0"/>
          <w:caps w:val="0"/>
          <w:smallCaps w:val="0"/>
          <w:vanish w:val="0"/>
          <w:color w:val="0F1115"/>
          <w:spacing w:val="0"/>
          <w:sz w:val="44"/>
          <w:szCs w:val="44"/>
        </w:rPr>
      </w:pPr>
      <w:r>
        <w:rPr>
          <w:rFonts w:ascii="Times New Roman" w:eastAsia="方正小标宋_GBK" w:cs="Times New Roman" w:hAnsi="Times New Roman"/>
          <w:b w:val="0"/>
          <w:i w:val="0"/>
          <w:iCs w:val="0"/>
          <w:caps w:val="0"/>
          <w:smallCaps w:val="0"/>
          <w:vanish w:val="0"/>
          <w:color w:val="0F1115"/>
          <w:spacing w:val="0"/>
          <w:sz w:val="44"/>
          <w:szCs w:val="44"/>
        </w:rPr>
        <w:t>《中华人民共和国海关进出境邮递物品监管办法（征求意见稿）》起草说明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为规范进出境邮递物品监管，提升海关监管效能，按照2026年度海关总署立法计划安排，</w:t>
      </w:r>
      <w:r>
        <w:rPr>
          <w:rFonts w:ascii="Times New Roman" w:eastAsia="方正仿宋_GBK" w:cs="Times New Roman" w:hAnsi="Times New Roman" w:hint="eastAsia"/>
          <w:caps w:val="0"/>
          <w:smallCaps w:val="0"/>
          <w:vanish w:val="0"/>
          <w:color w:val="000000"/>
          <w:spacing w:val="0"/>
          <w:sz w:val="32"/>
          <w:szCs w:val="32"/>
        </w:rPr>
        <w:t>我们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研究起草</w:t>
      </w:r>
      <w:r>
        <w:rPr>
          <w:rFonts w:ascii="Times New Roman" w:eastAsia="方正仿宋_GBK" w:cs="Times New Roman" w:hAnsi="Times New Roman" w:hint="eastAsia"/>
          <w:caps w:val="0"/>
          <w:smallCaps w:val="0"/>
          <w:vanish w:val="0"/>
          <w:color w:val="000000"/>
          <w:spacing w:val="0"/>
          <w:sz w:val="32"/>
          <w:szCs w:val="32"/>
        </w:rPr>
        <w:t>了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《中华人民共和国海关进出境邮递物品监管办法（征求意见稿）》（以下简称征求意见稿）。现将有关情况说明如下：</w:t>
      </w:r>
    </w:p>
    <w:p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560" w:lineRule="exact"/>
        <w:ind w:left="0" w:right="0" w:firstLineChars="200" w:firstLine="640"/>
        <w:jc w:val="left"/>
        <w:outlineLvl w:val="1"/>
        <w:rPr>
          <w:rFonts w:ascii="Times New Roman" w:eastAsia="方正黑体_GBK" w:cs="Times New Roman" w:hAnsi="Times New Roman"/>
          <w:b w:val="0"/>
          <w:bCs w:val="0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黑体_GBK" w:cs="Times New Roman" w:hAnsi="Times New Roman"/>
          <w:b w:val="0"/>
          <w:bCs w:val="0"/>
          <w:caps w:val="0"/>
          <w:smallCaps w:val="0"/>
          <w:vanish w:val="0"/>
          <w:color w:val="000000"/>
          <w:spacing w:val="0"/>
          <w:sz w:val="32"/>
          <w:szCs w:val="32"/>
        </w:rPr>
        <w:t>一、起草的必要性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left="0" w:firstLineChars="200" w:firstLine="640"/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</w:pPr>
      <w:r>
        <w:rPr>
          <w:rFonts w:ascii="Times New Roman" w:eastAsia="方正楷体_GBK" w:cs="Times New Roman" w:hAnsi="Times New Roman"/>
          <w:bCs/>
          <w:caps w:val="0"/>
          <w:smallCaps w:val="0"/>
          <w:vanish w:val="0"/>
          <w:color w:val="000000"/>
          <w:spacing w:val="0"/>
          <w:sz w:val="32"/>
          <w:szCs w:val="32"/>
        </w:rPr>
        <w:t>（一）</w:t>
      </w:r>
      <w:r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  <w:t>落实上位法规定，做好制度衔接配套。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依据《中华人民共和国海关法》《中华人民共和国关税法》《中华人民共和国进出境动植物检疫法》《中华人民共和国国境卫生检疫法》《中华人民共和国邮政法》等法律，结合《进境物品关税、增值税、消费税征收办法》等规定要求，将上位法规定细化为海关邮递渠道可落地执行的具体监管条款，实现上位法制度要求在邮递物品领域落地实施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left="0" w:firstLineChars="200" w:firstLine="640"/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</w:pPr>
      <w:r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  <w:t>（二）固化</w:t>
      </w:r>
      <w:r>
        <w:rPr>
          <w:rFonts w:ascii="Times New Roman" w:eastAsia="方正楷体_GBK" w:cs="Times New Roman" w:hAnsi="Times New Roman" w:hint="eastAsia"/>
          <w:bCs/>
          <w:color w:val="000000"/>
          <w:sz w:val="32"/>
          <w:szCs w:val="32"/>
        </w:rPr>
        <w:t>机构</w:t>
      </w:r>
      <w:r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  <w:t>改革成果，完善全链条监管制度。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进出境邮递物品同时涉及海关申报、查验、检疫等多重管理要求。征求意见稿统筹融合监管要求，将检疫相关规则嵌入进出境监管全流程，提升制度的系统性、整体性、协同性。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left="0" w:firstLineChars="200" w:firstLine="640"/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</w:pPr>
      <w:r>
        <w:rPr>
          <w:rFonts w:ascii="Times New Roman" w:eastAsia="方正楷体_GBK" w:cs="Times New Roman" w:hAnsi="Times New Roman"/>
          <w:bCs/>
          <w:color w:val="000000"/>
          <w:sz w:val="32"/>
          <w:szCs w:val="32"/>
        </w:rPr>
        <w:t>（三）进一步促进通关便利，服务高水平对外开放。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在筑牢国门安全防线前提下，兼顾邮政企业经营实际与收寄件人通关便利，厘清海关、邮政企业、收寄件人三方权利义务，优化通关流程，规范处置程序，在严密监管的同时提升通关便利度，保障群众合法权益。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ind w:left="0" w:firstLineChars="200" w:firstLine="640"/>
        <w:rPr>
          <w:rFonts w:ascii="Times New Roman" w:eastAsia="方正黑体_GBK" w:cs="Times New Roman" w:hAnsi="Times New Roman"/>
          <w:b w:val="0"/>
          <w:color w:val="000000"/>
          <w:sz w:val="32"/>
          <w:szCs w:val="32"/>
        </w:rPr>
      </w:pPr>
      <w:r>
        <w:rPr>
          <w:rFonts w:ascii="Times New Roman" w:eastAsia="方正黑体_GBK" w:cs="Times New Roman" w:hAnsi="Times New Roman"/>
          <w:b w:val="0"/>
          <w:color w:val="000000"/>
          <w:sz w:val="32"/>
          <w:szCs w:val="32"/>
        </w:rPr>
        <w:t>二、主要内容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ind w:left="0" w:firstLineChars="200" w:firstLine="640"/>
        <w:rPr>
          <w:rFonts w:ascii="方正仿宋_GBK" w:eastAsia="方正仿宋_GBK" w:cs="Times New Roman" w:hint="eastAsia"/>
          <w:b w:val="0"/>
          <w:color w:val="000000"/>
          <w:sz w:val="32"/>
          <w:szCs w:val="32"/>
        </w:rPr>
      </w:pPr>
      <w:r>
        <w:rPr>
          <w:rFonts w:ascii="方正仿宋_GBK" w:eastAsia="方正仿宋_GBK" w:cs="Times New Roman" w:hint="eastAsia"/>
          <w:b w:val="0"/>
          <w:color w:val="000000"/>
          <w:sz w:val="32"/>
          <w:szCs w:val="32"/>
        </w:rPr>
        <w:t>征求意见稿</w:t>
      </w:r>
      <w:r>
        <w:rPr>
          <w:rFonts w:ascii="方正仿宋_GBK" w:eastAsia="方正仿宋_GBK" w:cs="Times New Roman"/>
          <w:b w:val="0"/>
          <w:color w:val="000000"/>
          <w:sz w:val="32"/>
          <w:szCs w:val="32"/>
        </w:rPr>
        <w:t>共五章三十条，主要内容包括：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  <w:t>（一）确立基础性监管规则。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明确立法目的、立法依据以及规章适用范围（第一条、第二条）；确立进出境邮递物品合理自用、限值限量的个人物品判定标准，超标准按照货物通关办理（第三条）；细化对于禁止性、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限制性管理规定的邮递物品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管理要求要求（第四条）；规范委托办理海关手续情形（第五条）；确定进出境邮袋、邮递物品检疫实施地点的具体要求（第六条）；明确邮政企业装卸、开拆、分拣等作业应当在海关监管区内开展（第七条）；落实智慧海关建设，推进监管信息化智能化（第八条</w:t>
      </w:r>
      <w:r>
        <w:rPr>
          <w:rFonts w:ascii="Times New Roman" w:eastAsia="方正仿宋_GBK" w:cs="Times New Roman" w:hAnsi="Times New Roman" w:hint="eastAsia"/>
          <w:caps w:val="0"/>
          <w:smallCaps w:val="0"/>
          <w:vanish w:val="0"/>
          <w:color w:val="000000"/>
          <w:spacing w:val="0"/>
          <w:sz w:val="32"/>
          <w:szCs w:val="32"/>
        </w:rPr>
        <w:t>、第九条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）；对邮政企业实施信用分类管理的制度（第十条）。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  <w:t>（二）设置邮袋监管专章。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规范邮政企业电子数据、邮件路单报送义务（第十一条、第十二条）；建立境内运输路线新增、调整的书面告知制度，要求邮政企业新增或者调整境内运输路线应当提前5个工作日书面告知海关（第十三条）；明确尚未办结海关手续的进出境邮袋境内运输发生误卸、损毁、开拆、遗失等异常情况时，邮政企业及时报告、配合海关检查的义务（第十四条），实现邮袋流转全环节闭环监管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  <w:t>（三）细化完善申报、查验制度内容。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明确收寄件人如实申报义务，设置进境邮递物品补充申报程序，经海关同意收件人可在补充申报前查看物品，规定海关核实时收寄件人验核身份、说明情况、提交材料的配合义务（第十五条、第十六条）；对动植物及其产品、特殊物品以及植物性包装物铺垫材料的检疫查验等作出专门规定（第十九条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  <w:t>（四）系统规范各环节处置规则。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明确邮递物品税收管理适用依据（第二十条）；细化进境邮递物品退回情形，明确无法退回时的处理程序（第二十四条）；规范收寄件人声明放弃的处置程序（第二十五条）；列明海关实施拍卖、变卖、销毁等处置的适用情形（第二十六条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0" w:line="560" w:lineRule="exact"/>
        <w:ind w:left="0" w:right="0" w:firstLineChars="200" w:firstLine="640"/>
        <w:jc w:val="left"/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color w:val="000000"/>
          <w:kern w:val="0"/>
          <w:sz w:val="32"/>
          <w:szCs w:val="32"/>
        </w:rPr>
        <w:t>（五）进一步做好制度衔接。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对进出境邮袋转关监管，作出指引性规定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（第二十七条），</w:t>
      </w: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针对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以邮递方式寄递进境的跨境电子商务零售进口商品，</w:t>
      </w: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明确海关</w:t>
      </w:r>
      <w:r>
        <w:rPr>
          <w:rFonts w:ascii="Times New Roman" w:eastAsia="方正仿宋_GBK" w:cs="Times New Roman" w:hAnsi="Times New Roman" w:hint="eastAsia"/>
          <w:bCs/>
          <w:color w:val="000000"/>
          <w:sz w:val="32"/>
          <w:szCs w:val="32"/>
        </w:rPr>
        <w:t>按照</w:t>
      </w: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国家</w:t>
      </w:r>
      <w:r>
        <w:rPr>
          <w:rFonts w:ascii="Times New Roman" w:eastAsia="方正仿宋_GBK" w:cs="Times New Roman" w:hAnsi="Times New Roman" w:hint="eastAsia"/>
          <w:bCs/>
          <w:color w:val="000000"/>
          <w:sz w:val="32"/>
          <w:szCs w:val="32"/>
        </w:rPr>
        <w:t>有关规定实施监督管理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，</w:t>
      </w: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确保监管规则有效衔接</w:t>
      </w:r>
      <w:r>
        <w:rPr>
          <w:rFonts w:ascii="Times New Roman" w:eastAsia="方正仿宋_GBK" w:cs="Times New Roman" w:hAnsi="Times New Roman"/>
          <w:caps w:val="0"/>
          <w:smallCaps w:val="0"/>
          <w:vanish w:val="0"/>
          <w:color w:val="000000"/>
          <w:spacing w:val="0"/>
          <w:sz w:val="32"/>
          <w:szCs w:val="32"/>
        </w:rPr>
        <w:t>（第二十八条）。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黑体_GBK">
    <w:altName w:val="黑体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方正小标宋_GBK">
    <w:altName w:val="汉仪书宋二KW"/>
    <w:panose1 w:val="03000509000000000000"/>
    <w:charset w:val="86"/>
    <w:family w:val="script"/>
    <w:pitch w:val="variable"/>
    <w:sig w:usb0="00000000" w:usb1="00000000" w:usb2="00000000" w:usb3="00000000" w:csb0="00040000" w:csb1="00000000"/>
  </w:font>
  <w:font w:name="方正仿宋_GBK">
    <w:altName w:val="汉仪仿宋KW"/>
    <w:panose1 w:val="03000509000000000000"/>
    <w:charset w:val="86"/>
    <w:family w:val="script"/>
    <w:pitch w:val="variable"/>
    <w:sig w:usb0="00000000" w:usb1="00000000" w:usb2="00000010" w:usb3="00000000" w:csb0="00040000" w:csb1="00000000"/>
  </w:font>
  <w:font w:name="方正楷体_GBK">
    <w:altName w:val="汉仪楷体KW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602030504020204"/>
    <w:charset w:val="00"/>
    <w:family w:val="auto"/>
    <w:pitch w:val="variable"/>
    <w:sig w:usb0="00000000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32"/>
  <w:doNotDisplayPageBoundaries/>
  <w:displayBackgroundShape/>
  <w:bordersDoNotSurroundHeader/>
  <w:bordersDoNotSurroundFooter/>
  <w:trackRevisions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rFonts w:ascii="宋体" w:eastAsia="宋体"/>
      <w:b/>
      <w:snapToGrid/>
      <w:color w:val="auto"/>
      <w:spacing w:val="0"/>
      <w:w w:val="100"/>
      <w:kern w:val="0"/>
      <w:position w:val="0"/>
      <w:sz w:val="36"/>
      <w:szCs w:val="21"/>
      <w:u w:val="none" w:color="auto"/>
      <w:vertAlign w:val="baseline"/>
      <w:lang w:val="en-US" w:eastAsia="zh-CN" w:bidi="ar-SA"/>
    </w:rPr>
  </w:style>
  <w:style w:type="paragraph" w:styleId="3">
    <w:name w:val="heading 3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2"/>
    </w:pPr>
    <w:rPr>
      <w:rFonts w:ascii="宋体" w:eastAsia="宋体"/>
      <w:b/>
      <w:snapToGrid/>
      <w:color w:val="auto"/>
      <w:spacing w:val="0"/>
      <w:w w:val="100"/>
      <w:kern w:val="0"/>
      <w:position w:val="0"/>
      <w:sz w:val="27"/>
      <w:szCs w:val="21"/>
      <w:u w:val="none" w:color="auto"/>
      <w:vertAlign w:val="baseline"/>
      <w:lang w:val="en-US" w:eastAsia="zh-CN" w:bidi="ar-SA"/>
    </w:rPr>
  </w:style>
  <w:style w:type="character" w:default="1" w:styleId="10">
    <w:name w:val="Default Paragraph Font"/>
  </w:style>
  <w:style w:type="paragraph" w:styleId="15">
    <w:name w:val="toc 3"/>
    <w:basedOn w:val="0"/>
    <w:autoRedefine/>
    <w:next w:val="0"/>
    <w:pPr>
      <w:ind w:left="840"/>
    </w:pPr>
  </w:style>
  <w:style w:type="paragraph" w:styleId="16">
    <w:name w:val="index 7"/>
    <w:basedOn w:val="0"/>
    <w:autoRedefine/>
    <w:next w:val="0"/>
    <w:pPr>
      <w:ind w:left="2520"/>
    </w:pPr>
  </w:style>
  <w:style w:type="paragraph" w:customStyle="1" w:styleId="17">
    <w:name w:val="样式 小二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rFonts w:ascii="宋体" w:eastAsia="宋体" w:cs="Lucida Sans"/>
      <w:b/>
      <w:snapToGrid/>
      <w:color w:val="auto"/>
      <w:spacing w:val="0"/>
      <w:w w:val="100"/>
      <w:kern w:val="0"/>
      <w:position w:val="0"/>
      <w:sz w:val="36"/>
      <w:szCs w:val="21"/>
      <w:u w:val="none" w:color="auto"/>
      <w:vertAlign w:val="baseline"/>
      <w:lang w:val="en-US" w:eastAsia="zh-CN" w:bidi="ar-SA"/>
    </w:rPr>
  </w:style>
  <w:style w:type="paragraph" w:customStyle="1" w:styleId="18">
    <w:name w:val="样式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9">
    <w:name w:val="样式 1 小二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rFonts w:ascii="宋体" w:eastAsia="宋体" w:cs="Lucida Sans"/>
      <w:b/>
      <w:snapToGrid/>
      <w:color w:val="auto"/>
      <w:spacing w:val="0"/>
      <w:w w:val="100"/>
      <w:kern w:val="0"/>
      <w:position w:val="0"/>
      <w:sz w:val="36"/>
      <w:szCs w:val="21"/>
      <w:u w:val="none" w:color="auto"/>
      <w:vertAlign w:val="baseline"/>
      <w:lang w:val="en-US" w:eastAsia="zh-CN" w:bidi="ar-SA"/>
    </w:rPr>
  </w:style>
  <w:style w:type="paragraph" w:customStyle="1" w:styleId="20">
    <w:name w:val="样式 1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1">
    <w:name w:val="样式 2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2">
    <w:name w:val="样式 3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3">
    <w:name w:val="样式 4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4">
    <w:name w:val="样式 5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5">
    <w:name w:val="样式 6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6">
    <w:name w:val="样式 7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7">
    <w:name w:val="样式 8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8">
    <w:name w:val="样式 9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9">
    <w:name w:val="样式 10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0">
    <w:name w:val="样式 11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1">
    <w:name w:val="样式 三号"/>
    <w:next w:val="15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32">
    <w:name w:val="样式 12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3">
    <w:name w:val="样式 13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4">
    <w:name w:val="样式 14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5">
    <w:name w:val="样式 15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6">
    <w:name w:val="样式 1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37">
    <w:name w:val="样式 16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8">
    <w:name w:val="样式 17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39">
    <w:name w:val="样式 18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162</TotalTime>
  <Application>Yozo_Office</Application>
  <Pages>1</Pages>
  <Words>49</Words>
  <Characters>52</Characters>
  <Lines>3</Lines>
  <Paragraphs>0</Paragraphs>
  <CharactersWithSpaces>52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chenlejia</dc:creator>
  <cp:lastModifiedBy>刘欣棉（外部)</cp:lastModifiedBy>
  <cp:revision>0</cp:revision>
  <dcterms:created xsi:type="dcterms:W3CDTF">2026-08-19T23:45:00Z</dcterms:created>
  <dcterms:modified xsi:type="dcterms:W3CDTF">2026-09-16T11:06:48Z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2052-12.9.0.21590</vt:lpwstr>
  </property>
  <property fmtid="{D5CDD505-2E9C-101B-9397-08002B2CF9AE}" pid="3" name="ICV">
    <vt:lpwstr>BAFAE9AF0A341B55AEA0A86A017B0335_43</vt:lpwstr>
  </property>
</Properties>
</file>