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sz w:val="44"/>
          <w:szCs w:val="44"/>
        </w:rPr>
      </w:pPr>
      <w:bookmarkStart w:id="0" w:name="_GoBack"/>
      <w:bookmarkEnd w:id="0"/>
      <w:r>
        <w:rPr>
          <w:sz w:val="44"/>
          <w:szCs w:val="44"/>
        </w:rPr>
        <mc:AlternateContent>
          <mc:Choice Requires="wps">
            <w:drawing>
              <wp:anchor distT="0" distB="0" distL="85723" distR="85723" simplePos="0" relativeHeight="12" behindDoc="0" locked="0" layoutInCell="1" hidden="0" allowOverlap="1">
                <wp:simplePos x="0" y="0"/>
                <wp:positionH relativeFrom="column">
                  <wp:posOffset>2988945</wp:posOffset>
                </wp:positionH>
                <wp:positionV relativeFrom="paragraph">
                  <wp:posOffset>4061459</wp:posOffset>
                </wp:positionV>
                <wp:extent cx="2266950" cy="0"/>
                <wp:effectExtent l="0" t="0" r="0" b="0"/>
                <wp:wrapNone/>
                <wp:docPr id="1" name="直线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266950" cy="0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2" o:spid="_x0000_s2" from="235.35pt,319.8pt" to="413.85pt,319.8pt" filled="f" stroked="t" style="position:absolute;z-index:12;mso-position-horizontal:absolute;mso-position-vertical:absolute;mso-wrap-distance-left:6.749897pt;mso-wrap-distance-right:6.749897pt;">
                <v:stroke color="#000000"/>
              </v:lin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85723" distR="85723" simplePos="0" relativeHeight="11" behindDoc="0" locked="0" layoutInCell="1" hidden="0" allowOverlap="1">
                <wp:simplePos x="0" y="0"/>
                <wp:positionH relativeFrom="column">
                  <wp:posOffset>2988945</wp:posOffset>
                </wp:positionH>
                <wp:positionV relativeFrom="paragraph">
                  <wp:posOffset>2971800</wp:posOffset>
                </wp:positionV>
                <wp:extent cx="2000250" cy="0"/>
                <wp:effectExtent l="0" t="0" r="0" b="0"/>
                <wp:wrapNone/>
                <wp:docPr id="3" name="直线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000250" cy="0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4" o:spid="_x0000_s4" from="235.35pt,234.0pt" to="392.85pt,234.0pt" filled="f" stroked="t" style="position:absolute;z-index:11;mso-position-horizontal:absolute;mso-position-vertical:absolute;mso-wrap-distance-left:6.749897pt;mso-wrap-distance-right:6.749897pt;">
                <v:stroke color="#000000"/>
              </v:line>
            </w:pict>
          </mc:Fallback>
        </mc:AlternateContent>
      </w:r>
      <w:r>
        <w:rPr>
          <w:sz w:val="44"/>
          <w:szCs w:val="44"/>
        </w:rPr>
        <w:t>报价表</w:t>
      </w:r>
    </w:p>
    <w:p/>
    <w:p>
      <w:pPr>
        <w:rPr>
          <w:sz w:val="32"/>
          <w:szCs w:val="32"/>
        </w:rPr>
      </w:pPr>
      <w:r>
        <w:rPr>
          <w:sz w:val="32"/>
          <w:szCs w:val="32"/>
        </w:rPr>
        <w:t>报价单位（盖章）：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报价时间：</w:t>
      </w:r>
    </w:p>
    <w:p>
      <w:pPr>
        <w:rPr>
          <w:sz w:val="32"/>
          <w:szCs w:val="32"/>
          <w:lang w:val="en-US" w:eastAsia="zh-CN"/>
        </w:rPr>
      </w:pPr>
    </w:p>
    <w:tbl>
      <w:tblPr>
        <w:jc w:val="left"/>
        <w:tblInd w:w="0" w:type="dxa"/>
        <w:tblW w:w="12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1498"/>
        <w:gridCol w:w="1267"/>
        <w:gridCol w:w="4752"/>
        <w:gridCol w:w="1155"/>
        <w:gridCol w:w="2730"/>
      </w:tblGrid>
      <w:tr>
        <w:trPr>
          <w:trHeight w:val="730"/>
        </w:trPr>
        <w:tc>
          <w:tcPr>
            <w:tcW w:w="1498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eastAsia="宋体"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1498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t>评分项及分值</w:t>
            </w:r>
          </w:p>
        </w:tc>
        <w:tc>
          <w:tcPr>
            <w:tcW w:w="1267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t>报价费率</w:t>
            </w:r>
          </w:p>
        </w:tc>
        <w:tc>
          <w:tcPr>
            <w:tcW w:w="4752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t>计算方法</w:t>
            </w:r>
          </w:p>
        </w:tc>
        <w:tc>
          <w:tcPr>
            <w:tcW w:w="1155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t>得分</w:t>
            </w:r>
          </w:p>
        </w:tc>
        <w:tc>
          <w:tcPr>
            <w:tcW w:w="2730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t>总分</w:t>
            </w:r>
          </w:p>
        </w:tc>
      </w:tr>
      <w:tr>
        <w:trPr>
          <w:trHeight w:val="1504"/>
        </w:trPr>
        <w:tc>
          <w:tcPr>
            <w:tcW w:w="1498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eastAsia="宋体"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98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t>维修工时费优惠（%）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t>50分</w:t>
            </w:r>
          </w:p>
        </w:tc>
        <w:tc>
          <w:tcPr>
            <w:tcW w:w="1267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</w:p>
        </w:tc>
        <w:tc>
          <w:tcPr>
            <w:tcW w:w="4752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t>（优惠率最高者为满分）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t xml:space="preserve"> 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960"/>
              </w:tabs>
              <w:ind w:firstLineChars="500" w:firstLine="1050"/>
            </w:pPr>
            <w:r>
              <w:t>维修工时费优惠率报价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right="-629"/>
            </w:pPr>
            <w:r>
              <w:t>50</w:t>
            </w:r>
            <w:r>
              <w:rPr>
                <w:rFonts w:hint="eastAsia"/>
              </w:rPr>
              <w:t>×</w:t>
            </w:r>
            <w:r>
              <w:t xml:space="preserve">                              =得分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firstLineChars="200" w:firstLine="420"/>
            </w:pPr>
            <w:r>
              <w:t xml:space="preserve">     维修工时费优惠率最高报价</w:t>
            </w:r>
          </w:p>
        </w:tc>
        <w:tc>
          <w:tcPr>
            <w:tcW w:w="1155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104"/>
              <w:jc w:val="center"/>
            </w:pPr>
          </w:p>
        </w:tc>
        <w:tc>
          <w:tcPr>
            <w:tcW w:w="2730" w:type="dxa"/>
            <w:vMerge w:val="restart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</w:p>
        </w:tc>
      </w:tr>
      <w:tr>
        <w:trPr>
          <w:trHeight w:val="2009"/>
        </w:trPr>
        <w:tc>
          <w:tcPr>
            <w:tcW w:w="1498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eastAsia="宋体"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498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t>维修材料实收管理费收取比例（%）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t>50分</w:t>
            </w:r>
          </w:p>
        </w:tc>
        <w:tc>
          <w:tcPr>
            <w:tcW w:w="1267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</w:p>
        </w:tc>
        <w:tc>
          <w:tcPr>
            <w:tcW w:w="4752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  <w:r>
              <w:t>（管理费收取比例最低者为满分）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960"/>
              </w:tabs>
              <w:ind w:firstLineChars="200" w:firstLine="420"/>
            </w:pPr>
            <w:r>
              <w:t>维修材料实收管理费收取比例最低报价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-629" w:firstLine="0"/>
            </w:pPr>
            <w:r>
              <w:t>50</w:t>
            </w:r>
            <w:r>
              <w:rPr>
                <w:rFonts w:hint="eastAsia"/>
              </w:rPr>
              <w:t>×</w:t>
            </w:r>
            <w:r>
              <w:t xml:space="preserve">                                  ＝得分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  <w:r>
              <w:t xml:space="preserve">       维修材料实收管理费收取比例报价</w:t>
            </w:r>
          </w:p>
        </w:tc>
        <w:tc>
          <w:tcPr>
            <w:tcW w:w="1155" w:type="dxa"/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</w:pPr>
          </w:p>
        </w:tc>
        <w:tc>
          <w:tcPr>
            <w:tcW w:w="2730" w:type="dxa"/>
            <w:vMerge/>
          </w:tcPr>
          <w:p/>
        </w:tc>
      </w:tr>
    </w:tbl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备注：1.管理费收取比例报价费率不能为0，如报0%，视为无效报价。</w:t>
      </w:r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2.报价费率保留小数点后两位，否则视为无效报价。</w:t>
      </w:r>
    </w:p>
    <w:sectPr>
      <w:pgSz w:w="16839" w:h="11907" w:orient="landscape"/>
      <w:pgMar w:top="1440" w:right="1083" w:bottom="1440" w:left="1083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27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279</TotalTime>
  <Application>Yozo_Office</Application>
  <Pages>1</Pages>
  <Words>211</Words>
  <Characters>220</Characters>
  <Lines>37</Lines>
  <Paragraphs>25</Paragraphs>
  <CharactersWithSpaces>304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贾翔</cp:lastModifiedBy>
  <cp:revision>1</cp:revision>
  <cp:lastPrinted>2022-07-29T00:42:00Z</cp:lastPrinted>
  <dcterms:created xsi:type="dcterms:W3CDTF">2022-07-29T00:37:00Z</dcterms:created>
  <dcterms:modified xsi:type="dcterms:W3CDTF">2025-07-28T03:16:23Z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2052-11.1.0.11875</vt:lpwstr>
  </property>
  <property fmtid="{D5CDD505-2E9C-101B-9397-08002B2CF9AE}" pid="3" name="ICV">
    <vt:lpwstr>DB0B045BDACF48C8A529C9E4DCEFD69C</vt:lpwstr>
  </property>
</Properties>
</file>